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76" w:rsidRDefault="00EF1076" w:rsidP="00EF1076">
      <w:pPr>
        <w:ind w:left="2160" w:firstLine="720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EF1076" w:rsidRDefault="00EF1076" w:rsidP="00EF1076">
      <w:pPr>
        <w:ind w:left="2160" w:firstLine="720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D3570C" w:rsidRPr="002A05E7" w:rsidRDefault="00D3570C" w:rsidP="00EF1076">
      <w:pPr>
        <w:ind w:left="2160" w:firstLine="720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NOTĂ DE FUNDAMENTARE</w:t>
      </w:r>
    </w:p>
    <w:p w:rsidR="00D3570C" w:rsidRDefault="00D3570C" w:rsidP="00294CAD">
      <w:pPr>
        <w:jc w:val="center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F1076" w:rsidRPr="002A05E7" w:rsidRDefault="00EF1076" w:rsidP="00054AF5">
      <w:pPr>
        <w:rPr>
          <w:rFonts w:ascii="Times New Roman" w:hAnsi="Times New Roman"/>
          <w:color w:val="auto"/>
          <w:sz w:val="24"/>
          <w:szCs w:val="24"/>
          <w:lang w:val="ro-RO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610"/>
        <w:gridCol w:w="44"/>
        <w:gridCol w:w="1882"/>
        <w:gridCol w:w="993"/>
        <w:gridCol w:w="992"/>
        <w:gridCol w:w="992"/>
        <w:gridCol w:w="992"/>
        <w:gridCol w:w="853"/>
        <w:gridCol w:w="1274"/>
      </w:tblGrid>
      <w:tr w:rsidR="002A05E7" w:rsidRPr="00AD58FD" w:rsidTr="00C56848">
        <w:trPr>
          <w:trHeight w:val="274"/>
        </w:trPr>
        <w:tc>
          <w:tcPr>
            <w:tcW w:w="10661" w:type="dxa"/>
            <w:gridSpan w:val="10"/>
          </w:tcPr>
          <w:p w:rsidR="000A6F49" w:rsidRPr="002A05E7" w:rsidRDefault="00D3570C" w:rsidP="00054AF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1: Titlul proiectului de act normativ</w:t>
            </w:r>
          </w:p>
        </w:tc>
      </w:tr>
      <w:tr w:rsidR="002A05E7" w:rsidRPr="00AD58FD" w:rsidTr="00C56848">
        <w:trPr>
          <w:trHeight w:val="503"/>
        </w:trPr>
        <w:tc>
          <w:tcPr>
            <w:tcW w:w="10661" w:type="dxa"/>
            <w:gridSpan w:val="10"/>
          </w:tcPr>
          <w:p w:rsidR="00D460E6" w:rsidRPr="002A05E7" w:rsidRDefault="00D460E6" w:rsidP="00054AF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HOTĂRÂRE</w:t>
            </w:r>
          </w:p>
          <w:p w:rsidR="00D3570C" w:rsidRPr="00054AF5" w:rsidRDefault="00D460E6" w:rsidP="00054AF5">
            <w:pPr>
              <w:tabs>
                <w:tab w:val="left" w:pos="6146"/>
              </w:tabs>
              <w:ind w:left="-108" w:firstLine="3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pentru aprobarea hotărârilor cuprinse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în Protocolul Sesiunii a XXIX</w:t>
            </w:r>
            <w:r w:rsidRPr="002A05E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-a a Comisiei hidrotehnice ro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mâno-ungare, semnat la Băile Felix</w:t>
            </w:r>
            <w:r w:rsidRPr="002A05E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, 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la 26</w:t>
            </w:r>
            <w:r w:rsidRPr="002A05E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aprilie 2018</w:t>
            </w:r>
            <w:r w:rsidRPr="002A05E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, pentru aplicarea Acordului dintre Guvernul României și Guvernul Republicii Ungare privind colaborarea pentru protecția și utilizarea durabilă a apelor de frontieră, semnat la Budapesta la 15 septembrie 2003</w:t>
            </w:r>
            <w:r w:rsidR="00054AF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A05E7" w:rsidRPr="00AD58FD" w:rsidTr="00C56848">
        <w:trPr>
          <w:trHeight w:val="503"/>
        </w:trPr>
        <w:tc>
          <w:tcPr>
            <w:tcW w:w="2683" w:type="dxa"/>
            <w:gridSpan w:val="3"/>
          </w:tcPr>
          <w:p w:rsidR="00D3570C" w:rsidRPr="002A05E7" w:rsidRDefault="00D3570C" w:rsidP="00E51CC6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Descrierea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situaţiei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actuale</w:t>
            </w:r>
          </w:p>
        </w:tc>
        <w:tc>
          <w:tcPr>
            <w:tcW w:w="7978" w:type="dxa"/>
            <w:gridSpan w:val="7"/>
          </w:tcPr>
          <w:p w:rsidR="00D460E6" w:rsidRDefault="00EB7FC0" w:rsidP="00D460E6">
            <w:pPr>
              <w:pStyle w:val="BodyText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D460E6" w:rsidRPr="002A05E7">
              <w:rPr>
                <w:sz w:val="24"/>
                <w:szCs w:val="24"/>
                <w:lang w:val="ro-RO"/>
              </w:rPr>
              <w:t>Colaborarea în domeniul gospodăririi apelor cu Ungaria se desfășoară în baza Acordului dintre Guvernul României și Guvernul Republicii Ungare privind colaborarea pentru protecția și utilizarea durabilă a apelor de frontieră, semnat la Budapesta, la 15 septembrie 2003 și aprobat prin Hotărârea Guvernului  nr. 577/2004.</w:t>
            </w:r>
          </w:p>
          <w:p w:rsidR="00D460E6" w:rsidRPr="00D460E6" w:rsidRDefault="00D460E6" w:rsidP="00D460E6">
            <w:pPr>
              <w:pStyle w:val="BodyText"/>
              <w:spacing w:line="276" w:lineRule="auto"/>
              <w:rPr>
                <w:sz w:val="24"/>
                <w:szCs w:val="24"/>
                <w:lang w:val="ro-RO"/>
              </w:rPr>
            </w:pPr>
            <w:r w:rsidRPr="00D460E6">
              <w:rPr>
                <w:sz w:val="24"/>
                <w:szCs w:val="24"/>
                <w:lang w:val="ro-RO"/>
              </w:rPr>
              <w:t xml:space="preserve">         Având în vedere poziția de stat amonte a României în raport de cursurile de apă </w:t>
            </w:r>
            <w:proofErr w:type="spellStart"/>
            <w:r w:rsidRPr="00D460E6">
              <w:rPr>
                <w:sz w:val="24"/>
                <w:szCs w:val="24"/>
                <w:lang w:val="ro-RO"/>
              </w:rPr>
              <w:t>transfrontieră</w:t>
            </w:r>
            <w:proofErr w:type="spellEnd"/>
            <w:r w:rsidRPr="00D460E6">
              <w:rPr>
                <w:sz w:val="24"/>
                <w:szCs w:val="24"/>
                <w:lang w:val="ro-RO"/>
              </w:rPr>
              <w:t xml:space="preserve">, colaborarea cu Ungaria este deosebit de importantă privind managementul coordonat al resurselor de apă în zona frontierei. Acordul asigură baza legală pentru abordarea problemelor de gospodărire calitativă și cantitativă a cursurilor de apă </w:t>
            </w:r>
            <w:proofErr w:type="spellStart"/>
            <w:r w:rsidRPr="00D460E6">
              <w:rPr>
                <w:sz w:val="24"/>
                <w:szCs w:val="24"/>
                <w:lang w:val="ro-RO"/>
              </w:rPr>
              <w:t>transfrontieră</w:t>
            </w:r>
            <w:proofErr w:type="spellEnd"/>
            <w:r w:rsidRPr="00D460E6">
              <w:rPr>
                <w:sz w:val="24"/>
                <w:szCs w:val="24"/>
                <w:lang w:val="ro-RO"/>
              </w:rPr>
              <w:t xml:space="preserve">, schimbul de date hidrologice, coordonarea unor acțiuni pentru protecția și utilizarea durabilă a apelor de frontieră.  </w:t>
            </w:r>
          </w:p>
          <w:p w:rsidR="00D460E6" w:rsidRPr="00D460E6" w:rsidRDefault="00D460E6" w:rsidP="00D460E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     În conformitate cu  prevederile art. 10 pct. 7 al Acordului aprobat prin Hotărârea Guvernului nr. 577/2004, în fiecare an, Comisia hidrotehnică româno-ungară realizează examinarea activităților privind aplicarea prevederilor Acordului.</w:t>
            </w:r>
          </w:p>
          <w:p w:rsidR="00D460E6" w:rsidRPr="00D460E6" w:rsidRDefault="00D460E6" w:rsidP="00D460E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acest an, Sesiunea a XXIX</w:t>
            </w:r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-a a Comisiei hidrotehnice româno-ungare pentru aplicarea Acordului dintre Guvernul României și Guvernul Republicii Ungare privind colaborarea pentru protecția și utilizarea durabilă a apelor de frontieră, s-a desfășurat la,</w:t>
            </w:r>
            <w:r w:rsidRPr="00D460E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Băile Felix</w:t>
            </w:r>
            <w:r w:rsidRPr="00D460E6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perioada 24 – 26</w:t>
            </w:r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aprilie 2018</w:t>
            </w:r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. </w:t>
            </w:r>
          </w:p>
          <w:p w:rsidR="00D460E6" w:rsidRPr="00D460E6" w:rsidRDefault="00D460E6" w:rsidP="00D460E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</w:pPr>
            <w:r w:rsidRPr="00D460E6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          Pe ordinea de zi a Sesiunii au fost incluse probleme privind colaborarea celor două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Pă</w:t>
            </w:r>
            <w:r w:rsidRPr="00D460E6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rți în domeniul gospodăririi apelor, rezultate din aplicarea prevederilor « Acordului între Guvernul României și Guvernul Republicii Ungare privind colaborarea pentru protecția și utilizarea durabilă a apelor de frontieră », semnat la Budapesta, la 15 septembrie 2003, intrat în vigoare la 17 mai 2004, aprobat prin Hotărârea Guvernului nr. 577/2004. </w:t>
            </w:r>
          </w:p>
          <w:p w:rsidR="00EB7FC0" w:rsidRPr="00054AF5" w:rsidRDefault="00D460E6" w:rsidP="00EF107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 xml:space="preserve">         </w:t>
            </w:r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Conform art.10 pct.5 din Acord dintre Guvernul României și Guvernul Republicii Ungare privind colaborarea pentru protecția și utilizarea durabilă a apelor de frontieră, aprobat prin Hotărârea Guvernului nr.577/2004, hotărârile luate în cadrul Comisiei se consemnează în Protocolul Sesiunii și intră în vigoare după aprobarea lor de către cele două părți contractante.</w:t>
            </w:r>
          </w:p>
        </w:tc>
      </w:tr>
      <w:tr w:rsidR="002A05E7" w:rsidRPr="00AD58FD" w:rsidTr="00C56848">
        <w:trPr>
          <w:trHeight w:val="503"/>
        </w:trPr>
        <w:tc>
          <w:tcPr>
            <w:tcW w:w="2683" w:type="dxa"/>
            <w:gridSpan w:val="3"/>
          </w:tcPr>
          <w:p w:rsidR="002A05E7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cazul proiectelor de acte normative care transpun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legislaţie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comunitară sau creează cadrul pentru aplicarea directă a acesteia</w:t>
            </w:r>
          </w:p>
        </w:tc>
        <w:tc>
          <w:tcPr>
            <w:tcW w:w="7978" w:type="dxa"/>
            <w:gridSpan w:val="7"/>
          </w:tcPr>
          <w:p w:rsidR="00003C45" w:rsidRPr="002A05E7" w:rsidRDefault="00003C45" w:rsidP="00E51CC6">
            <w:pPr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ro-RO"/>
              </w:rPr>
            </w:pPr>
          </w:p>
          <w:p w:rsidR="00D3570C" w:rsidRPr="002A05E7" w:rsidRDefault="00003C45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noProof/>
                <w:color w:val="auto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2A05E7" w:rsidRPr="00AD58FD" w:rsidTr="00C56848">
        <w:tc>
          <w:tcPr>
            <w:tcW w:w="2683" w:type="dxa"/>
            <w:gridSpan w:val="3"/>
          </w:tcPr>
          <w:p w:rsidR="00D3570C" w:rsidRPr="00D460E6" w:rsidRDefault="00D3570C" w:rsidP="00E51CC6">
            <w:pP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2. Schimbări preconizate</w:t>
            </w:r>
          </w:p>
        </w:tc>
        <w:tc>
          <w:tcPr>
            <w:tcW w:w="7978" w:type="dxa"/>
            <w:gridSpan w:val="7"/>
          </w:tcPr>
          <w:p w:rsidR="00054AF5" w:rsidRDefault="00D460E6" w:rsidP="00054AF5">
            <w:pPr>
              <w:spacing w:after="12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Pe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ordinea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zi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acestei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întâlniri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au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fost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incluse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problemele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privind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colaborarea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celor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două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Părţi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în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domeniul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gospodăririi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apelor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iar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în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cadrul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întâlnirii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s-a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analizat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modul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realizare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sarcinilor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stabilit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>e</w:t>
            </w:r>
            <w:proofErr w:type="spellEnd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>Comisie</w:t>
            </w:r>
            <w:proofErr w:type="spellEnd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la </w:t>
            </w:r>
            <w:proofErr w:type="spellStart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>Sesiunea</w:t>
            </w:r>
            <w:proofErr w:type="spellEnd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XXVIII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-a,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modul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îndeplinire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obligaţiilor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care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rezultă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din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Regulamentele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aplicare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prevederilor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Acordului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precum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şi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activităţile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desfăş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>urate</w:t>
            </w:r>
            <w:proofErr w:type="spellEnd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>până</w:t>
            </w:r>
            <w:proofErr w:type="spellEnd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la </w:t>
            </w:r>
            <w:proofErr w:type="spellStart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>Sesiunea</w:t>
            </w:r>
            <w:proofErr w:type="spellEnd"/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XXIX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-a a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Comisiei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în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domeniile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apărarea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împotriva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inundaţiilor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urmărirea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calităţii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apelor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frontieră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pe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bază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analize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sistematice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efectuate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separat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şi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în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>comun</w:t>
            </w:r>
            <w:proofErr w:type="spellEnd"/>
            <w:r w:rsidRPr="00152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 xml:space="preserve">schimbul de informaţii meteorologice, hidrologice şi avertizări cu privire la fenomenele periculoase şi poluări accidentale şi 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urmărirea funcţionalităţii lucrărilor hidrotehnice.</w:t>
            </w:r>
          </w:p>
          <w:p w:rsidR="00D460E6" w:rsidRPr="00054AF5" w:rsidRDefault="00D460E6" w:rsidP="00054AF5">
            <w:pPr>
              <w:spacing w:after="12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Hotărârile adoptate prin consens, în baza discuțiilor purtate în conformitate cu ordinea de zi a întâlnirii, se referă, în principal, la:</w:t>
            </w:r>
          </w:p>
          <w:p w:rsidR="00D460E6" w:rsidRPr="00054AF5" w:rsidRDefault="00D460E6" w:rsidP="001522B1">
            <w:pPr>
              <w:pStyle w:val="PlainText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hu-HU"/>
              </w:rPr>
            </w:pPr>
            <w:r w:rsidRPr="00054AF5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val="ro-RO"/>
              </w:rPr>
              <w:t>a).aprobarea „</w:t>
            </w: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Regulamentului</w:t>
            </w:r>
            <w:r w:rsidR="001522B1"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  </w:t>
            </w:r>
            <w:r w:rsidR="001522B1" w:rsidRPr="00054AF5">
              <w:rPr>
                <w:rStyle w:val="Style1"/>
                <w:rFonts w:ascii="Times New Roman" w:hAnsi="Times New Roman"/>
                <w:color w:val="000000" w:themeColor="text1"/>
                <w:sz w:val="24"/>
                <w:szCs w:val="24"/>
              </w:rPr>
              <w:t>pentru urmărirea calității apelor pe râurile care formează sau traversează frontiera româno-ungară</w:t>
            </w:r>
            <w:r w:rsidR="001522B1"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 </w:t>
            </w: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>”;</w:t>
            </w:r>
          </w:p>
          <w:p w:rsidR="00D460E6" w:rsidRPr="00054AF5" w:rsidRDefault="001522B1" w:rsidP="001522B1">
            <w:pPr>
              <w:pStyle w:val="PlainTex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hu-HU"/>
              </w:rPr>
              <w:t xml:space="preserve">b) 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continuarea </w:t>
            </w:r>
            <w:r w:rsidR="00054AF5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activității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de evaluare a </w:t>
            </w:r>
            <w:r w:rsidR="00054AF5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calității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apelor de frontieră pe baza rezultatelor analizelor </w:t>
            </w:r>
            <w:proofErr w:type="spellStart"/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fizico</w:t>
            </w:r>
            <w:proofErr w:type="spellEnd"/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-chi</w:t>
            </w:r>
            <w:r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mice și biologice, din anul 2017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, în conformitate cu prevederile „Regulamentului pentru urmărirea </w:t>
            </w:r>
            <w:r w:rsidR="00054AF5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calității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apelor, pe râurile care formează sau traversează frontiera româno-ungară”;</w:t>
            </w:r>
          </w:p>
          <w:p w:rsidR="00D460E6" w:rsidRPr="00054AF5" w:rsidRDefault="001522B1" w:rsidP="00D460E6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c) 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continuarea măsurătorilor comune de debit pe apele de frontieră în vederea </w:t>
            </w:r>
            <w:r w:rsidR="00054AF5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îmbunătățirii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managementului cantitativ al apelor; </w:t>
            </w:r>
          </w:p>
          <w:p w:rsidR="00297126" w:rsidRPr="00054AF5" w:rsidRDefault="001522B1" w:rsidP="00297126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d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) continuarea schimbului de </w:t>
            </w:r>
            <w:r w:rsidR="00054AF5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experiență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între </w:t>
            </w:r>
            <w:r w:rsidR="00054AF5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experții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Pă</w:t>
            </w:r>
            <w:r w:rsidR="00054AF5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rților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, atât în gospodărirea cantitativă, cât </w:t>
            </w:r>
            <w:r w:rsidR="00054AF5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și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calitativă a apelor;</w:t>
            </w:r>
          </w:p>
          <w:p w:rsidR="00297126" w:rsidRPr="00054AF5" w:rsidRDefault="00297126" w:rsidP="00D460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e) continuarea activității de informare reciprocă, între Părți, cu privire la </w:t>
            </w:r>
            <w:r w:rsidRPr="00054AF5">
              <w:rPr>
                <w:rFonts w:ascii="Times New Roman" w:hAnsi="Times New Roman"/>
                <w:color w:val="000000" w:themeColor="text1"/>
                <w:lang w:val="ro-RO"/>
              </w:rPr>
              <w:t xml:space="preserve"> corpurile de apă de suprafață de frontieră </w:t>
            </w:r>
            <w:r w:rsidR="00054AF5" w:rsidRPr="00054AF5">
              <w:rPr>
                <w:rFonts w:ascii="Times New Roman" w:hAnsi="Times New Roman"/>
                <w:color w:val="000000" w:themeColor="text1"/>
                <w:lang w:val="ro-RO"/>
              </w:rPr>
              <w:t>și</w:t>
            </w:r>
            <w:r w:rsidRPr="00054AF5">
              <w:rPr>
                <w:rFonts w:ascii="Times New Roman" w:hAnsi="Times New Roman"/>
                <w:color w:val="000000" w:themeColor="text1"/>
                <w:lang w:val="ro-RO"/>
              </w:rPr>
              <w:t xml:space="preserve"> corpurile de apă subterană transfrontaliere din Planul de Management Integrat al </w:t>
            </w:r>
            <w:proofErr w:type="spellStart"/>
            <w:r w:rsidRPr="00054AF5">
              <w:rPr>
                <w:rFonts w:ascii="Times New Roman" w:hAnsi="Times New Roman"/>
                <w:color w:val="000000" w:themeColor="text1"/>
                <w:lang w:val="ro-RO"/>
              </w:rPr>
              <w:t>b.h</w:t>
            </w:r>
            <w:proofErr w:type="spellEnd"/>
            <w:r w:rsidRPr="00054AF5">
              <w:rPr>
                <w:rFonts w:ascii="Times New Roman" w:hAnsi="Times New Roman"/>
                <w:color w:val="000000" w:themeColor="text1"/>
                <w:lang w:val="ro-RO"/>
              </w:rPr>
              <w:t>. Tisa, privind stadiul realizării sarcinilor Directivei Cadru Apă (2000/60/EC) și cu privire la</w:t>
            </w: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stadiul implementării Directivei 2007/60/CE a Parlamentului European </w:t>
            </w:r>
            <w:r w:rsidR="00054AF5"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și</w:t>
            </w: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 Consiliului din 23 octombrie 2007 privind evaluarea </w:t>
            </w:r>
            <w:r w:rsidR="00054AF5"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și</w:t>
            </w: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gestionarea riscurilor de inundații. </w:t>
            </w:r>
          </w:p>
          <w:p w:rsidR="00054AF5" w:rsidRPr="00054AF5" w:rsidRDefault="00054AF5" w:rsidP="00054AF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f) continuarea activi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tății de elaborare</w:t>
            </w: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 anexelor „Regulamentului de apărare împotriva inundațiilor produse de cursuri de apă” și ale „Regulamentului de apărare împotriva inundațiilor produse de ape interne”.</w:t>
            </w:r>
          </w:p>
          <w:p w:rsidR="00054AF5" w:rsidRPr="00054AF5" w:rsidRDefault="00054AF5" w:rsidP="00D460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4AF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g) continuarea întâlnirilor comune de experți pentru verificarea lucrărilor de apărare împotriva inundațiilor</w:t>
            </w:r>
          </w:p>
          <w:p w:rsidR="00054AF5" w:rsidRDefault="00054AF5" w:rsidP="00D460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h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).sprijinirea </w:t>
            </w:r>
            <w:r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și</w:t>
            </w:r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în viitor realizarea proiectelor comune </w:t>
            </w:r>
            <w:proofErr w:type="spellStart"/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="00D460E6" w:rsidRPr="00054AF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 urmărirea proiectelor în derulare care se realizează în domeniul de aplicare al Acordului</w:t>
            </w:r>
            <w:r w:rsidR="00D460E6" w:rsidRPr="001522B1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. </w:t>
            </w:r>
          </w:p>
          <w:p w:rsidR="00D460E6" w:rsidRPr="00054AF5" w:rsidRDefault="00D460E6" w:rsidP="00D460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Hotărârile ado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ptate în cadrul Sesiunii a XXIX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-a vor contribui la protejarea calității apelor de frontieră, la sporirea măsurilor de 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protecție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contra inundațiilor, la managementul durabil al apelor de frontieră, în beneficiul mediului înconjurător, comunităților locale și 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cetățenilor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ambelor 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țări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  <w:p w:rsidR="00CC6138" w:rsidRPr="00054AF5" w:rsidRDefault="00D460E6" w:rsidP="009A6E2E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Împuterniciți Guver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nelor au hotărât ca cea de a XX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X-a Sesiune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(ordinară)</w:t>
            </w:r>
            <w:r w:rsidR="007D36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aferentă anului 2018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să aibă lo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c </w:t>
            </w:r>
            <w:r w:rsidR="009A6E2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în Ungaria 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cel mai târzi</w:t>
            </w:r>
            <w:r w:rsidR="001522B1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 în trimestrul I al anului 2019</w:t>
            </w: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.  </w:t>
            </w:r>
          </w:p>
        </w:tc>
      </w:tr>
      <w:tr w:rsidR="002A05E7" w:rsidRPr="002A05E7" w:rsidTr="00C56848">
        <w:tc>
          <w:tcPr>
            <w:tcW w:w="2683" w:type="dxa"/>
            <w:gridSpan w:val="3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7978" w:type="dxa"/>
            <w:gridSpan w:val="7"/>
          </w:tcPr>
          <w:p w:rsidR="00B872F0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294CAD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A05E7" w:rsidRPr="002A05E7" w:rsidTr="001661D6">
        <w:trPr>
          <w:trHeight w:val="239"/>
        </w:trPr>
        <w:tc>
          <w:tcPr>
            <w:tcW w:w="10661" w:type="dxa"/>
            <w:gridSpan w:val="10"/>
          </w:tcPr>
          <w:p w:rsidR="00EB7FC0" w:rsidRDefault="00D3570C" w:rsidP="007F5AB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 3-a: </w:t>
            </w:r>
          </w:p>
          <w:p w:rsidR="002A05E7" w:rsidRPr="002A05E7" w:rsidRDefault="00D3570C" w:rsidP="0094683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Impactul </w:t>
            </w: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socio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-economic al proiectului de act normativ</w:t>
            </w:r>
          </w:p>
        </w:tc>
      </w:tr>
      <w:tr w:rsidR="002A05E7" w:rsidRPr="00AD58FD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1. Impactul macroeconomic</w:t>
            </w:r>
          </w:p>
        </w:tc>
        <w:tc>
          <w:tcPr>
            <w:tcW w:w="8022" w:type="dxa"/>
            <w:gridSpan w:val="8"/>
          </w:tcPr>
          <w:p w:rsidR="00D3570C" w:rsidRPr="002A05E7" w:rsidRDefault="002451F5" w:rsidP="00294CA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</w:t>
            </w:r>
            <w:r w:rsidR="00294CAD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se referă la acest subiect.</w:t>
            </w:r>
          </w:p>
        </w:tc>
      </w:tr>
      <w:tr w:rsidR="002A05E7" w:rsidRPr="00AD58FD" w:rsidTr="00054AF5">
        <w:trPr>
          <w:trHeight w:val="1156"/>
        </w:trPr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. Impactul asupra mediului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concurenţial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domeniului ajutoarelor de stat</w:t>
            </w:r>
          </w:p>
        </w:tc>
        <w:tc>
          <w:tcPr>
            <w:tcW w:w="8022" w:type="dxa"/>
            <w:gridSpan w:val="8"/>
          </w:tcPr>
          <w:p w:rsidR="00D3570C" w:rsidRPr="002A05E7" w:rsidRDefault="00B872F0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2A05E7" w:rsidRPr="00AD58FD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 Impactul asupra mediului de afaceri</w:t>
            </w:r>
          </w:p>
        </w:tc>
        <w:tc>
          <w:tcPr>
            <w:tcW w:w="8022" w:type="dxa"/>
            <w:gridSpan w:val="8"/>
          </w:tcPr>
          <w:p w:rsidR="00D3570C" w:rsidRPr="002A05E7" w:rsidRDefault="002451F5" w:rsidP="00BD3CB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u w:val="single"/>
                <w:lang w:val="ro-RO"/>
              </w:rPr>
            </w:pPr>
            <w:r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0E2836" w:rsidRPr="00AD58FD" w:rsidTr="00C56848">
        <w:tc>
          <w:tcPr>
            <w:tcW w:w="2639" w:type="dxa"/>
            <w:gridSpan w:val="2"/>
          </w:tcPr>
          <w:p w:rsidR="000E2836" w:rsidRPr="002A05E7" w:rsidRDefault="000E2836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Impactul asupra sarcinilor administrative</w:t>
            </w:r>
          </w:p>
        </w:tc>
        <w:tc>
          <w:tcPr>
            <w:tcW w:w="8022" w:type="dxa"/>
            <w:gridSpan w:val="8"/>
          </w:tcPr>
          <w:p w:rsidR="000E2836" w:rsidRPr="00BA7A5B" w:rsidRDefault="002451F5" w:rsidP="00BD3CBD">
            <w:pPr>
              <w:jc w:val="both"/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0E2836" w:rsidRPr="00AD58FD" w:rsidTr="00C56848">
        <w:tc>
          <w:tcPr>
            <w:tcW w:w="2639" w:type="dxa"/>
            <w:gridSpan w:val="2"/>
          </w:tcPr>
          <w:p w:rsidR="000E2836" w:rsidRDefault="000E2836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2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Impactul asupra întreprinderilor mici și mijlocii</w:t>
            </w:r>
          </w:p>
        </w:tc>
        <w:tc>
          <w:tcPr>
            <w:tcW w:w="8022" w:type="dxa"/>
            <w:gridSpan w:val="8"/>
          </w:tcPr>
          <w:p w:rsidR="000E2836" w:rsidRPr="00BA7A5B" w:rsidRDefault="002451F5" w:rsidP="00BD3CBD">
            <w:pPr>
              <w:jc w:val="both"/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2A05E7" w:rsidRPr="00AD58FD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8022" w:type="dxa"/>
            <w:gridSpan w:val="8"/>
          </w:tcPr>
          <w:p w:rsidR="00D3570C" w:rsidRPr="002A05E7" w:rsidRDefault="002451F5" w:rsidP="00E51CC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  <w:lang w:val="ro-RO"/>
              </w:rPr>
            </w:pPr>
            <w:r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2A05E7" w:rsidRPr="00AD58FD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Impactul asupra mediului </w:t>
            </w:r>
          </w:p>
        </w:tc>
        <w:tc>
          <w:tcPr>
            <w:tcW w:w="8022" w:type="dxa"/>
            <w:gridSpan w:val="8"/>
          </w:tcPr>
          <w:p w:rsidR="00D3570C" w:rsidRPr="00D460E6" w:rsidRDefault="00B872F0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aprobă măsuri pentru îmbunătățirea managementului resurselor de apă în bazine hidrografice </w:t>
            </w:r>
            <w:proofErr w:type="spellStart"/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transfrontieră</w:t>
            </w:r>
            <w:proofErr w:type="spellEnd"/>
            <w:r w:rsidRPr="00D460E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asigurând totodată și protecția mediului prin utilizarea durabilă a resurselor de apă.</w:t>
            </w:r>
          </w:p>
          <w:p w:rsidR="00EB7FC0" w:rsidRPr="002A05E7" w:rsidRDefault="00EB7FC0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o-RO"/>
              </w:rPr>
            </w:pPr>
          </w:p>
        </w:tc>
      </w:tr>
      <w:tr w:rsidR="002A05E7" w:rsidRPr="002A05E7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5. Alte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8022" w:type="dxa"/>
            <w:gridSpan w:val="8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294CAD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A05E7" w:rsidRPr="002A05E7" w:rsidTr="00C56848">
        <w:tc>
          <w:tcPr>
            <w:tcW w:w="10661" w:type="dxa"/>
            <w:gridSpan w:val="10"/>
          </w:tcPr>
          <w:p w:rsidR="00EB7FC0" w:rsidRDefault="00D3570C" w:rsidP="00054AF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 4-a:</w:t>
            </w:r>
          </w:p>
          <w:p w:rsidR="00054AF5" w:rsidRPr="002A05E7" w:rsidRDefault="00D3570C" w:rsidP="00054AF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Impactul financiar asupra bugetului general consolidat, atât pe termen scurt, pentru anul curent, cât </w:t>
            </w: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pe termen lung (pe 5 ani)</w:t>
            </w:r>
          </w:p>
        </w:tc>
      </w:tr>
      <w:tr w:rsidR="002A05E7" w:rsidRPr="002A05E7" w:rsidTr="00C56848">
        <w:tc>
          <w:tcPr>
            <w:tcW w:w="10661" w:type="dxa"/>
            <w:gridSpan w:val="10"/>
          </w:tcPr>
          <w:p w:rsidR="00D3570C" w:rsidRPr="002A05E7" w:rsidRDefault="00D3570C" w:rsidP="00E51CC6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 mii lei -</w:t>
            </w:r>
          </w:p>
        </w:tc>
      </w:tr>
      <w:tr w:rsidR="002A05E7" w:rsidRPr="002A05E7" w:rsidTr="00294CAD">
        <w:trPr>
          <w:trHeight w:val="564"/>
        </w:trPr>
        <w:tc>
          <w:tcPr>
            <w:tcW w:w="4565" w:type="dxa"/>
            <w:gridSpan w:val="4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993" w:type="dxa"/>
          </w:tcPr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Anul</w:t>
            </w:r>
          </w:p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3829" w:type="dxa"/>
            <w:gridSpan w:val="4"/>
          </w:tcPr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Următorii</w:t>
            </w:r>
          </w:p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 ani</w:t>
            </w:r>
          </w:p>
        </w:tc>
        <w:tc>
          <w:tcPr>
            <w:tcW w:w="1274" w:type="dxa"/>
          </w:tcPr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Media</w:t>
            </w:r>
          </w:p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pe 5 ani</w:t>
            </w:r>
          </w:p>
        </w:tc>
      </w:tr>
      <w:tr w:rsidR="002A05E7" w:rsidRPr="002A05E7" w:rsidTr="00294CAD">
        <w:trPr>
          <w:trHeight w:val="170"/>
        </w:trPr>
        <w:tc>
          <w:tcPr>
            <w:tcW w:w="4565" w:type="dxa"/>
            <w:gridSpan w:val="4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93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3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274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</w:p>
        </w:tc>
      </w:tr>
      <w:tr w:rsidR="002A05E7" w:rsidRPr="002A05E7" w:rsidTr="00294CAD">
        <w:tc>
          <w:tcPr>
            <w:tcW w:w="4565" w:type="dxa"/>
            <w:gridSpan w:val="4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D3570C" w:rsidRPr="002A05E7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201</w:t>
            </w:r>
            <w:r w:rsidR="00344CA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:rsidR="00D3570C" w:rsidRPr="002A05E7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201</w:t>
            </w:r>
            <w:r w:rsidR="00344CA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9</w:t>
            </w:r>
          </w:p>
        </w:tc>
        <w:tc>
          <w:tcPr>
            <w:tcW w:w="992" w:type="dxa"/>
          </w:tcPr>
          <w:p w:rsidR="00D3570C" w:rsidRPr="002A05E7" w:rsidRDefault="00344CA5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2020</w:t>
            </w:r>
          </w:p>
        </w:tc>
        <w:tc>
          <w:tcPr>
            <w:tcW w:w="992" w:type="dxa"/>
          </w:tcPr>
          <w:p w:rsidR="00D3570C" w:rsidRPr="002A05E7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344CA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21</w:t>
            </w:r>
          </w:p>
        </w:tc>
        <w:tc>
          <w:tcPr>
            <w:tcW w:w="853" w:type="dxa"/>
          </w:tcPr>
          <w:p w:rsidR="00D3570C" w:rsidRPr="002A05E7" w:rsidRDefault="00C72BAD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RDefault="00D3570C" w:rsidP="00E51CC6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7B298D">
        <w:trPr>
          <w:trHeight w:val="416"/>
        </w:trPr>
        <w:tc>
          <w:tcPr>
            <w:tcW w:w="4565" w:type="dxa"/>
            <w:gridSpan w:val="4"/>
          </w:tcPr>
          <w:p w:rsidR="00D3570C" w:rsidRPr="002A05E7" w:rsidRDefault="000E2836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Modificări ale veniturilor bugetare, plus/minus, din care:</w:t>
            </w:r>
          </w:p>
          <w:p w:rsidR="00D3570C" w:rsidRPr="002A05E7" w:rsidRDefault="00D3570C" w:rsidP="00D357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stat, din acesta:</w:t>
            </w:r>
          </w:p>
          <w:p w:rsidR="00D3570C" w:rsidRPr="002A05E7" w:rsidRDefault="00D3570C" w:rsidP="00D3570C">
            <w:pPr>
              <w:numPr>
                <w:ilvl w:val="0"/>
                <w:numId w:val="10"/>
              </w:numPr>
              <w:tabs>
                <w:tab w:val="clear" w:pos="1080"/>
                <w:tab w:val="left" w:pos="720"/>
                <w:tab w:val="num" w:pos="900"/>
              </w:tabs>
              <w:ind w:left="36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D3570C" w:rsidRPr="002A05E7" w:rsidRDefault="00D3570C" w:rsidP="00D3570C">
            <w:pPr>
              <w:numPr>
                <w:ilvl w:val="0"/>
                <w:numId w:val="10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venit</w:t>
            </w:r>
          </w:p>
          <w:p w:rsidR="00D3570C" w:rsidRPr="002A05E7" w:rsidRDefault="00D3570C" w:rsidP="00D3570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locale:</w:t>
            </w:r>
          </w:p>
          <w:p w:rsidR="00D3570C" w:rsidRPr="002A05E7" w:rsidRDefault="00D3570C" w:rsidP="00D3570C">
            <w:pPr>
              <w:numPr>
                <w:ilvl w:val="0"/>
                <w:numId w:val="11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D3570C" w:rsidRPr="002A05E7" w:rsidRDefault="00D3570C" w:rsidP="00D3570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asigurărilor sociale de stat:</w:t>
            </w:r>
          </w:p>
          <w:p w:rsidR="00D3570C" w:rsidRPr="002A05E7" w:rsidRDefault="00D3570C" w:rsidP="00D3570C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contribuţii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asigurări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vizează modificarea veniturilor bugetare directe.</w:t>
            </w:r>
          </w:p>
        </w:tc>
      </w:tr>
      <w:tr w:rsidR="002A05E7" w:rsidRPr="002A05E7" w:rsidTr="00294CAD">
        <w:trPr>
          <w:trHeight w:val="451"/>
        </w:trPr>
        <w:tc>
          <w:tcPr>
            <w:tcW w:w="4565" w:type="dxa"/>
            <w:gridSpan w:val="4"/>
            <w:vMerge w:val="restart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Modificări ale cheltuielilor bugetare plus/minus, din care:</w:t>
            </w:r>
          </w:p>
          <w:p w:rsidR="00D3570C" w:rsidRDefault="00D3570C" w:rsidP="00D3570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0E2836" w:rsidRPr="000E2836" w:rsidRDefault="000E2836" w:rsidP="000E28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0E283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cheltuieli de capital</w:t>
            </w:r>
          </w:p>
          <w:p w:rsidR="00D3570C" w:rsidRPr="002A05E7" w:rsidRDefault="00D3570C" w:rsidP="00D3570C">
            <w:pPr>
              <w:numPr>
                <w:ilvl w:val="1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credit extern</w:t>
            </w:r>
          </w:p>
          <w:p w:rsidR="00D3570C" w:rsidRPr="002A05E7" w:rsidRDefault="00D3570C" w:rsidP="00D3570C">
            <w:pPr>
              <w:numPr>
                <w:ilvl w:val="1"/>
                <w:numId w:val="15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993" w:type="dxa"/>
          </w:tcPr>
          <w:p w:rsidR="00D3570C" w:rsidRPr="002A05E7" w:rsidRDefault="00A435FD" w:rsidP="00DA3A61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RDefault="00A435FD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RDefault="00A435FD" w:rsidP="00086369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294CAD">
        <w:trPr>
          <w:trHeight w:val="348"/>
        </w:trPr>
        <w:tc>
          <w:tcPr>
            <w:tcW w:w="4565" w:type="dxa"/>
            <w:gridSpan w:val="4"/>
            <w:vMerge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D3570C" w:rsidRPr="002A05E7" w:rsidRDefault="00A435FD" w:rsidP="00DA3A61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RDefault="00A435FD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RDefault="00A435FD" w:rsidP="00BE3397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294CAD">
        <w:trPr>
          <w:trHeight w:val="292"/>
        </w:trPr>
        <w:tc>
          <w:tcPr>
            <w:tcW w:w="4565" w:type="dxa"/>
            <w:gridSpan w:val="4"/>
            <w:vMerge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294CAD">
        <w:trPr>
          <w:trHeight w:val="285"/>
        </w:trPr>
        <w:tc>
          <w:tcPr>
            <w:tcW w:w="4565" w:type="dxa"/>
            <w:gridSpan w:val="4"/>
            <w:vMerge w:val="restart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 financiar, plus/minus, din care:</w:t>
            </w:r>
          </w:p>
          <w:p w:rsidR="00D3570C" w:rsidRPr="002A05E7" w:rsidRDefault="00D3570C" w:rsidP="00D357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D3570C" w:rsidRPr="002A05E7" w:rsidRDefault="00D3570C" w:rsidP="00D357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</w:t>
            </w:r>
          </w:p>
        </w:tc>
        <w:tc>
          <w:tcPr>
            <w:tcW w:w="993" w:type="dxa"/>
          </w:tcPr>
          <w:p w:rsidR="00D3570C" w:rsidRPr="002A05E7" w:rsidRDefault="00D3570C" w:rsidP="00E51CC6">
            <w:pPr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-</w:t>
            </w:r>
          </w:p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294CAD">
        <w:trPr>
          <w:trHeight w:val="432"/>
        </w:trPr>
        <w:tc>
          <w:tcPr>
            <w:tcW w:w="4565" w:type="dxa"/>
            <w:gridSpan w:val="4"/>
            <w:vMerge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Propuneri pentru acoperirea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creşterii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cheltuielilor bugetare</w:t>
            </w:r>
          </w:p>
        </w:tc>
        <w:tc>
          <w:tcPr>
            <w:tcW w:w="6096" w:type="dxa"/>
            <w:gridSpan w:val="6"/>
          </w:tcPr>
          <w:p w:rsidR="00D3570C" w:rsidRPr="002A05E7" w:rsidRDefault="00153291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5. Propuneri pentru a compensa reducerea veniturilor bugetare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6. Calcule detaliate privind fundamentarea modificărilor veniturilor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/sau cheltuielilor bugetare</w:t>
            </w:r>
          </w:p>
        </w:tc>
        <w:tc>
          <w:tcPr>
            <w:tcW w:w="6096" w:type="dxa"/>
            <w:gridSpan w:val="6"/>
          </w:tcPr>
          <w:p w:rsidR="00E0769D" w:rsidRPr="002A05E7" w:rsidRDefault="00A435FD" w:rsidP="009740F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  <w:r w:rsidR="00B872F0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2A05E7" w:rsidTr="007B298D">
        <w:tc>
          <w:tcPr>
            <w:tcW w:w="4565" w:type="dxa"/>
            <w:gridSpan w:val="4"/>
          </w:tcPr>
          <w:p w:rsidR="00B872F0" w:rsidRPr="002A05E7" w:rsidRDefault="00B872F0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7. Alte informații</w:t>
            </w:r>
          </w:p>
        </w:tc>
        <w:tc>
          <w:tcPr>
            <w:tcW w:w="6096" w:type="dxa"/>
            <w:gridSpan w:val="6"/>
          </w:tcPr>
          <w:p w:rsidR="00B872F0" w:rsidRPr="002A05E7" w:rsidRDefault="000E2836" w:rsidP="009740F5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nu are impact financiar asupra bugetului general consolidat</w:t>
            </w:r>
          </w:p>
        </w:tc>
      </w:tr>
      <w:tr w:rsidR="002A05E7" w:rsidRPr="002A05E7" w:rsidTr="00C56848">
        <w:trPr>
          <w:trHeight w:val="401"/>
        </w:trPr>
        <w:tc>
          <w:tcPr>
            <w:tcW w:w="10661" w:type="dxa"/>
            <w:gridSpan w:val="10"/>
          </w:tcPr>
          <w:p w:rsidR="00EB7FC0" w:rsidRDefault="00D3570C" w:rsidP="00054AF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 5-a:</w:t>
            </w:r>
          </w:p>
          <w:p w:rsidR="00344CA5" w:rsidRPr="002A05E7" w:rsidRDefault="00D3570C" w:rsidP="00054AF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Efectele proiectului de act normativ asupra </w:t>
            </w:r>
            <w:r w:rsidR="00344CA5"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legislației</w:t>
            </w: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în vigoare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a) acte normative în vigoare ce vor fi modificate sau abrogate, ca urmare a intrării în vigoare a proiectului de act normativ; 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b) acte normative ce urmează a fi elaborate în vederea implementării noilor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dispoziţii</w:t>
            </w:r>
            <w:proofErr w:type="spellEnd"/>
          </w:p>
        </w:tc>
        <w:tc>
          <w:tcPr>
            <w:tcW w:w="6096" w:type="dxa"/>
            <w:gridSpan w:val="6"/>
          </w:tcPr>
          <w:p w:rsidR="00D3570C" w:rsidRPr="002A05E7" w:rsidRDefault="00E67647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0E2836" w:rsidRPr="00AD58FD" w:rsidTr="007B298D">
        <w:tc>
          <w:tcPr>
            <w:tcW w:w="4565" w:type="dxa"/>
            <w:gridSpan w:val="4"/>
          </w:tcPr>
          <w:p w:rsidR="000E2836" w:rsidRDefault="000E2836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 xml:space="preserve"> 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Compatibilitatea proiectului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act normativ cu legislația în domeniul achizițiilor publice</w:t>
            </w:r>
          </w:p>
          <w:p w:rsidR="000E2836" w:rsidRDefault="000E2836" w:rsidP="000E283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impact legislativ</w:t>
            </w:r>
            <w:r w:rsidR="002A6D0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e-prevederi de modificare și completare a cadrului normativ în domeniul achizițiilor publice, prevederi derogatorii</w:t>
            </w:r>
          </w:p>
          <w:p w:rsidR="00AE29B3" w:rsidRPr="00AE29B3" w:rsidRDefault="002A6D02" w:rsidP="00AE29B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norme de impact la nivel operațional/tehnic-sisteme electronice utilizate în desfășurarea procedurilor de achiziție publică, unități centralizate de achiziții publice, structură organizatorică internă a autorităților contractante</w:t>
            </w:r>
          </w:p>
        </w:tc>
        <w:tc>
          <w:tcPr>
            <w:tcW w:w="6096" w:type="dxa"/>
            <w:gridSpan w:val="6"/>
          </w:tcPr>
          <w:p w:rsidR="000E2836" w:rsidRPr="002A05E7" w:rsidRDefault="002A6D02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2A6D02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2. Conformitatea 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proiectului de act normativ cu 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legislația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comunitară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cazul proiectelor ce transpun prevederi comunitare</w:t>
            </w:r>
          </w:p>
        </w:tc>
        <w:tc>
          <w:tcPr>
            <w:tcW w:w="6096" w:type="dxa"/>
            <w:gridSpan w:val="6"/>
          </w:tcPr>
          <w:p w:rsidR="00D3570C" w:rsidRPr="002A05E7" w:rsidRDefault="00E67647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096" w:type="dxa"/>
            <w:gridSpan w:val="6"/>
          </w:tcPr>
          <w:p w:rsidR="00D3570C" w:rsidRPr="002A05E7" w:rsidRDefault="00E67647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Hotărâri ale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Europene de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Justiţie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 Uniunii Europene</w:t>
            </w:r>
          </w:p>
        </w:tc>
        <w:tc>
          <w:tcPr>
            <w:tcW w:w="6096" w:type="dxa"/>
            <w:gridSpan w:val="6"/>
          </w:tcPr>
          <w:p w:rsidR="00D3570C" w:rsidRPr="002A05E7" w:rsidRDefault="0031565A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5. Alte acte normative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/sau documente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internaţionale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din care decurg angajamente</w:t>
            </w:r>
          </w:p>
        </w:tc>
        <w:tc>
          <w:tcPr>
            <w:tcW w:w="6096" w:type="dxa"/>
            <w:gridSpan w:val="6"/>
          </w:tcPr>
          <w:p w:rsidR="00D3570C" w:rsidRDefault="0031565A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054AF5" w:rsidRDefault="00054AF5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:rsidR="00054AF5" w:rsidRPr="002A05E7" w:rsidRDefault="00054AF5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2A05E7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6. Alte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informaţi</w:t>
            </w:r>
            <w:proofErr w:type="spellEnd"/>
          </w:p>
        </w:tc>
        <w:tc>
          <w:tcPr>
            <w:tcW w:w="6096" w:type="dxa"/>
            <w:gridSpan w:val="6"/>
          </w:tcPr>
          <w:p w:rsidR="00054AF5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2A05E7" w:rsidRPr="002A05E7" w:rsidTr="00C56848">
        <w:tc>
          <w:tcPr>
            <w:tcW w:w="10661" w:type="dxa"/>
            <w:gridSpan w:val="10"/>
          </w:tcPr>
          <w:p w:rsidR="00CD75E3" w:rsidRDefault="00D3570C" w:rsidP="00054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 6-a:</w:t>
            </w:r>
          </w:p>
          <w:p w:rsidR="00344CA5" w:rsidRPr="002A05E7" w:rsidRDefault="00D3570C" w:rsidP="00054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Consultările efectuate în vederea elaborării proiectului de act normativ</w:t>
            </w:r>
          </w:p>
        </w:tc>
      </w:tr>
      <w:tr w:rsidR="002A05E7" w:rsidRPr="00AD58FD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Informaţii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privind procesul de consultare cu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organizaţii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neguvernamentale, institute de cercetare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alte organisme implicate</w:t>
            </w:r>
          </w:p>
        </w:tc>
        <w:tc>
          <w:tcPr>
            <w:tcW w:w="6096" w:type="dxa"/>
            <w:gridSpan w:val="6"/>
          </w:tcPr>
          <w:p w:rsidR="00D3570C" w:rsidRPr="002A05E7" w:rsidRDefault="007B298D" w:rsidP="00C8440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AD58FD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2. Fundamentarea alegerii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organizaţiilor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cu care a avut loc consultarea, precum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 modului în care activitatea acestor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organizaţii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este legată de obiectul proiectului de act normativ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AD58FD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 xml:space="preserve">3. Consultările organizate cu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autorităţile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administraţiei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publice locale, în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situaţia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care proiectul de act normativ are ca obiect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activităţi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ale acestor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autorităţi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, în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condiţiile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Hotărârii Guvernului nr. 521/2005 privind procedura de consultare a structurilor asociative ale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autorităţilor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administraţiei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publice locale la elaborarea proiectelor de acte normative</w:t>
            </w:r>
          </w:p>
        </w:tc>
        <w:tc>
          <w:tcPr>
            <w:tcW w:w="6096" w:type="dxa"/>
            <w:gridSpan w:val="6"/>
          </w:tcPr>
          <w:p w:rsidR="00877393" w:rsidRPr="002A05E7" w:rsidRDefault="00877393" w:rsidP="0087739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Consultările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desfăşurate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cadrul consiliilor interministeriale, în conformitate cu prevederile Hotărârii Guvernului nr.</w:t>
            </w:r>
            <w:r w:rsidR="00036119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50/2005 privind constituirea consiliilor interministeriale permanente</w:t>
            </w:r>
          </w:p>
        </w:tc>
        <w:tc>
          <w:tcPr>
            <w:tcW w:w="6096" w:type="dxa"/>
            <w:gridSpan w:val="6"/>
          </w:tcPr>
          <w:p w:rsidR="00D3570C" w:rsidRPr="001522B1" w:rsidRDefault="00036119" w:rsidP="00E6764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</w:t>
            </w:r>
            <w:r w:rsidR="00E67647" w:rsidRPr="001522B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este supus consultărilor comisiilor interministeriale.</w:t>
            </w: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5.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Informaţii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privind avizarea către: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a) Consiliul Legislativ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b) Consiliul Suprem de Apărare a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Ţării</w:t>
            </w:r>
            <w:proofErr w:type="spellEnd"/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c) Consiliul Economic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Social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d) Consiliul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Concurenţei</w:t>
            </w:r>
            <w:proofErr w:type="spellEnd"/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a fost avizat favorabil de Consiliul Legislativ.</w:t>
            </w:r>
          </w:p>
        </w:tc>
      </w:tr>
      <w:tr w:rsidR="00E6764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E67647" w:rsidRPr="002A05E7" w:rsidRDefault="00E67647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6.Alte informații</w:t>
            </w:r>
          </w:p>
        </w:tc>
        <w:tc>
          <w:tcPr>
            <w:tcW w:w="6096" w:type="dxa"/>
            <w:gridSpan w:val="6"/>
          </w:tcPr>
          <w:p w:rsidR="00E67647" w:rsidRPr="002A05E7" w:rsidRDefault="00E67647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10632" w:type="dxa"/>
            <w:gridSpan w:val="9"/>
          </w:tcPr>
          <w:p w:rsidR="00EB7FC0" w:rsidRDefault="00D3570C" w:rsidP="007F5A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 7-a: </w:t>
            </w:r>
          </w:p>
          <w:p w:rsidR="00EB7FC0" w:rsidRPr="002A05E7" w:rsidRDefault="00D3570C" w:rsidP="00877F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Activităţi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de informare publică privind elaborarea </w:t>
            </w: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implementarea proiectului de act normativ</w:t>
            </w:r>
          </w:p>
        </w:tc>
      </w:tr>
      <w:tr w:rsidR="002A05E7" w:rsidRPr="00AD58FD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Informarea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societăţii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civile cu 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privire la necesitatea elaborării proiectului de act normativ</w:t>
            </w:r>
          </w:p>
        </w:tc>
        <w:tc>
          <w:tcPr>
            <w:tcW w:w="6096" w:type="dxa"/>
            <w:gridSpan w:val="6"/>
          </w:tcPr>
          <w:p w:rsidR="00161119" w:rsidRDefault="00EB7FC0" w:rsidP="00EB7FC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elaborarea proiectului a fost îndeplinită procedura stabilită prin Legea nr.52/2003 privind </w:t>
            </w:r>
            <w:proofErr w:type="spellStart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transparenţa</w:t>
            </w:r>
            <w:proofErr w:type="spellEnd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decizională în </w:t>
            </w:r>
            <w:proofErr w:type="spellStart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administraţia</w:t>
            </w:r>
            <w:proofErr w:type="spellEnd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publică, republicată, prin </w:t>
            </w:r>
            <w:proofErr w:type="spellStart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afişarea</w:t>
            </w:r>
            <w:proofErr w:type="spellEnd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acestuia în vederea consultării pe pagina de internet a Ministerului Apelor </w:t>
            </w:r>
            <w:proofErr w:type="spellStart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Pădurilor. </w:t>
            </w:r>
          </w:p>
          <w:p w:rsidR="00EB7FC0" w:rsidRPr="00444749" w:rsidRDefault="00EB7FC0" w:rsidP="00EB7FC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447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acest sens, menționăm faptul că proiectul de act normativ a fost postat pe site-ul Ministerului Apelor și Pădurilor la adresa www.apepaduri.gov.ro, în data de</w:t>
            </w:r>
            <w:r w:rsidR="00227521" w:rsidRPr="004447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745D8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…………………</w:t>
            </w:r>
            <w:bookmarkStart w:id="0" w:name="_GoBack"/>
            <w:bookmarkEnd w:id="0"/>
            <w:r w:rsidRPr="0044474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 nu au fost primite observații și propuneri din partea publicului interesat. </w:t>
            </w:r>
          </w:p>
          <w:p w:rsidR="00D3570C" w:rsidRPr="00BA7A5B" w:rsidRDefault="00D3570C" w:rsidP="00E6764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</w:p>
        </w:tc>
      </w:tr>
      <w:tr w:rsidR="002A05E7" w:rsidRPr="00AD58FD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2. Informarea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societăţii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efectele asupra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sănătăţii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securităţii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cetăţenilor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sau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diversităţii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biologice</w:t>
            </w:r>
          </w:p>
        </w:tc>
        <w:tc>
          <w:tcPr>
            <w:tcW w:w="6096" w:type="dxa"/>
            <w:gridSpan w:val="6"/>
          </w:tcPr>
          <w:p w:rsidR="00D3570C" w:rsidRPr="002A05E7" w:rsidRDefault="00294CAD" w:rsidP="00294CA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096" w:type="dxa"/>
            <w:gridSpan w:val="6"/>
          </w:tcPr>
          <w:p w:rsidR="00D3570C" w:rsidRPr="002A05E7" w:rsidRDefault="00D3570C" w:rsidP="00054AF5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294CAD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A05E7" w:rsidRPr="00AD58FD" w:rsidTr="007F5AB3">
        <w:trPr>
          <w:gridBefore w:val="1"/>
          <w:wBefore w:w="29" w:type="dxa"/>
          <w:trHeight w:val="291"/>
        </w:trPr>
        <w:tc>
          <w:tcPr>
            <w:tcW w:w="10632" w:type="dxa"/>
            <w:gridSpan w:val="9"/>
          </w:tcPr>
          <w:p w:rsidR="002A05E7" w:rsidRPr="002A05E7" w:rsidRDefault="00D3570C" w:rsidP="00946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</w:t>
            </w:r>
            <w:proofErr w:type="spellEnd"/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 8-a: Măsuri de implementare</w:t>
            </w:r>
          </w:p>
        </w:tc>
      </w:tr>
      <w:tr w:rsidR="002A05E7" w:rsidRPr="00AD58FD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Măsurile de punere în aplicare a proiectului de act normativ de către 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autorităţile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administraţiei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publice centrale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/sau locale –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înfiinţarea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unor noi organisme sau extinderea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competenţelor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instituţiilor</w:t>
            </w:r>
            <w:proofErr w:type="spellEnd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existente</w:t>
            </w:r>
          </w:p>
        </w:tc>
        <w:tc>
          <w:tcPr>
            <w:tcW w:w="6096" w:type="dxa"/>
            <w:gridSpan w:val="6"/>
          </w:tcPr>
          <w:p w:rsidR="00AE29B3" w:rsidRPr="002A05E7" w:rsidRDefault="00AE29B3" w:rsidP="00AE29B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2. Alte </w:t>
            </w:r>
            <w:proofErr w:type="spellStart"/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</w:tbl>
    <w:p w:rsidR="00877FC9" w:rsidRDefault="00877FC9" w:rsidP="00946835">
      <w:pPr>
        <w:tabs>
          <w:tab w:val="left" w:pos="6146"/>
        </w:tabs>
        <w:ind w:left="-567" w:firstLine="283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877FC9" w:rsidRDefault="00877FC9" w:rsidP="00946835">
      <w:pPr>
        <w:tabs>
          <w:tab w:val="left" w:pos="6146"/>
        </w:tabs>
        <w:ind w:left="-567" w:firstLine="283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B7FC0" w:rsidRDefault="00EB7FC0" w:rsidP="00D460E6">
      <w:pPr>
        <w:tabs>
          <w:tab w:val="left" w:pos="6146"/>
        </w:tabs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D460E6" w:rsidRPr="002A05E7" w:rsidRDefault="00D460E6" w:rsidP="00D460E6">
      <w:pPr>
        <w:tabs>
          <w:tab w:val="left" w:pos="6146"/>
        </w:tabs>
        <w:ind w:left="-567"/>
        <w:jc w:val="both"/>
        <w:rPr>
          <w:rFonts w:ascii="Times New Roman" w:hAnsi="Times New Roman"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color w:val="auto"/>
          <w:sz w:val="24"/>
          <w:szCs w:val="24"/>
          <w:lang w:val="ro-RO"/>
        </w:rPr>
        <w:t xml:space="preserve">Pentru considerentele de mai sus, am elaborat proiectul de Hotărâre a Guvernului </w:t>
      </w:r>
      <w:r w:rsidRPr="002A05E7">
        <w:rPr>
          <w:rFonts w:ascii="Times New Roman" w:hAnsi="Times New Roman"/>
          <w:bCs/>
          <w:color w:val="auto"/>
          <w:sz w:val="24"/>
          <w:szCs w:val="24"/>
          <w:lang w:val="ro-RO"/>
        </w:rPr>
        <w:t xml:space="preserve">pentru aprobarea hotărârilor cuprinse </w:t>
      </w:r>
      <w:r>
        <w:rPr>
          <w:rFonts w:ascii="Times New Roman" w:hAnsi="Times New Roman"/>
          <w:bCs/>
          <w:color w:val="auto"/>
          <w:sz w:val="24"/>
          <w:szCs w:val="24"/>
          <w:lang w:val="ro-RO"/>
        </w:rPr>
        <w:t>în Protocolul Sesiunii a XXIX</w:t>
      </w:r>
      <w:r w:rsidRPr="002A05E7">
        <w:rPr>
          <w:rFonts w:ascii="Times New Roman" w:hAnsi="Times New Roman"/>
          <w:bCs/>
          <w:color w:val="auto"/>
          <w:sz w:val="24"/>
          <w:szCs w:val="24"/>
          <w:lang w:val="ro-RO"/>
        </w:rPr>
        <w:t xml:space="preserve">-a a Comisiei hidrotehnice româno-ungare, semnat la </w:t>
      </w:r>
      <w:r>
        <w:rPr>
          <w:rFonts w:ascii="Times New Roman" w:hAnsi="Times New Roman"/>
          <w:bCs/>
          <w:color w:val="auto"/>
          <w:sz w:val="24"/>
          <w:szCs w:val="24"/>
          <w:lang w:val="ro-RO"/>
        </w:rPr>
        <w:t>Băile Felix</w:t>
      </w:r>
      <w:r w:rsidRPr="002A05E7">
        <w:rPr>
          <w:rFonts w:ascii="Times New Roman" w:hAnsi="Times New Roman"/>
          <w:bCs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color w:val="auto"/>
          <w:sz w:val="24"/>
          <w:szCs w:val="24"/>
          <w:lang w:val="ro-RO"/>
        </w:rPr>
        <w:t>la 26 aprilie 2018</w:t>
      </w:r>
      <w:r w:rsidRPr="002A05E7">
        <w:rPr>
          <w:rFonts w:ascii="Times New Roman" w:hAnsi="Times New Roman"/>
          <w:bCs/>
          <w:color w:val="auto"/>
          <w:sz w:val="24"/>
          <w:szCs w:val="24"/>
          <w:lang w:val="ro-RO"/>
        </w:rPr>
        <w:t>, pentru aplicarea Acordului dintre Guvernul României și Guvernul Republicii Ungare privind colaborarea pentru protecția și utilizarea durabilă a apelor de frontieră, semnat la Budapesta la 15 septembrie 2003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 w:rsidRPr="002A05E7">
        <w:rPr>
          <w:rFonts w:ascii="Times New Roman" w:hAnsi="Times New Roman"/>
          <w:color w:val="auto"/>
          <w:sz w:val="24"/>
          <w:szCs w:val="24"/>
          <w:lang w:val="ro-RO"/>
        </w:rPr>
        <w:t>care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,</w:t>
      </w:r>
      <w:r w:rsidRPr="002A05E7">
        <w:rPr>
          <w:rFonts w:ascii="Times New Roman" w:hAnsi="Times New Roman"/>
          <w:color w:val="auto"/>
          <w:sz w:val="24"/>
          <w:szCs w:val="24"/>
          <w:lang w:val="ro-RO"/>
        </w:rPr>
        <w:t xml:space="preserve"> în forma prezentată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,</w:t>
      </w:r>
      <w:r w:rsidRPr="002A05E7">
        <w:rPr>
          <w:rFonts w:ascii="Times New Roman" w:hAnsi="Times New Roman"/>
          <w:color w:val="auto"/>
          <w:sz w:val="24"/>
          <w:szCs w:val="24"/>
          <w:lang w:val="ro-RO"/>
        </w:rPr>
        <w:t xml:space="preserve"> a fost avizat de către ministerele interesate și de Consiliul Legislativ și pe care îl supunem spre adoptare. </w:t>
      </w:r>
    </w:p>
    <w:p w:rsidR="00EB7FC0" w:rsidRDefault="00EB7FC0" w:rsidP="002A05E7">
      <w:pPr>
        <w:tabs>
          <w:tab w:val="left" w:pos="6146"/>
        </w:tabs>
        <w:ind w:left="-56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B7FC0" w:rsidRDefault="00EB7FC0" w:rsidP="002A05E7">
      <w:pPr>
        <w:tabs>
          <w:tab w:val="left" w:pos="6146"/>
        </w:tabs>
        <w:ind w:left="-56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7F5AB3" w:rsidRPr="002A05E7" w:rsidRDefault="007F5AB3" w:rsidP="002A05E7">
      <w:pPr>
        <w:tabs>
          <w:tab w:val="left" w:pos="6146"/>
        </w:tabs>
        <w:ind w:left="-56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2A05E7" w:rsidRDefault="002A05E7" w:rsidP="00D3570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2A05E7" w:rsidRDefault="002A05E7" w:rsidP="002A05E7">
      <w:pPr>
        <w:autoSpaceDE w:val="0"/>
        <w:autoSpaceDN w:val="0"/>
        <w:adjustRightInd w:val="0"/>
        <w:spacing w:line="276" w:lineRule="auto"/>
        <w:ind w:left="1440" w:firstLine="720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D3570C" w:rsidRPr="002A05E7" w:rsidRDefault="00D3570C" w:rsidP="006E6E8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MINISTRUL APELOR  ŞI PĂDURILOR</w:t>
      </w:r>
    </w:p>
    <w:p w:rsidR="00D3570C" w:rsidRPr="00D460E6" w:rsidRDefault="00D3570C" w:rsidP="00D3570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lang w:val="ro-RO"/>
        </w:rPr>
      </w:pPr>
    </w:p>
    <w:p w:rsidR="00D3570C" w:rsidRPr="00D460E6" w:rsidRDefault="00344CA5" w:rsidP="00D3570C">
      <w:pPr>
        <w:tabs>
          <w:tab w:val="left" w:pos="-540"/>
          <w:tab w:val="left" w:pos="0"/>
        </w:tabs>
        <w:ind w:left="180"/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D460E6">
        <w:rPr>
          <w:rFonts w:ascii="Times New Roman" w:hAnsi="Times New Roman"/>
          <w:b/>
          <w:color w:val="auto"/>
          <w:sz w:val="24"/>
          <w:szCs w:val="24"/>
          <w:lang w:val="ro-RO"/>
        </w:rPr>
        <w:t>Ioan DENEȘ</w:t>
      </w:r>
    </w:p>
    <w:p w:rsidR="00BA6529" w:rsidRDefault="00BA6529" w:rsidP="00EF107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EF1076" w:rsidRDefault="00EF1076" w:rsidP="00EF107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EF1076" w:rsidRDefault="00EF1076" w:rsidP="00EF107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A6529" w:rsidRDefault="00BA6529" w:rsidP="008065AD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A6529" w:rsidRDefault="00BA6529" w:rsidP="002A05E7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D3570C" w:rsidRPr="002A05E7" w:rsidRDefault="00D3570C" w:rsidP="00BA6529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u w:val="single"/>
          <w:lang w:val="it-IT"/>
        </w:rPr>
        <w:t>Avizăm favorabil:</w:t>
      </w:r>
    </w:p>
    <w:p w:rsidR="00B03906" w:rsidRPr="002A05E7" w:rsidRDefault="00B03906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val="it-IT"/>
        </w:rPr>
      </w:pPr>
    </w:p>
    <w:p w:rsidR="00B03906" w:rsidRPr="002A05E7" w:rsidRDefault="00B03906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val="it-IT"/>
        </w:rPr>
      </w:pPr>
    </w:p>
    <w:p w:rsidR="00B03906" w:rsidRPr="002A05E7" w:rsidRDefault="00B03906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color w:val="auto"/>
          <w:sz w:val="24"/>
          <w:szCs w:val="24"/>
          <w:lang w:val="it-IT"/>
        </w:rPr>
      </w:pPr>
    </w:p>
    <w:p w:rsidR="00D3570C" w:rsidRPr="002A05E7" w:rsidRDefault="00D3570C" w:rsidP="00D3570C">
      <w:pPr>
        <w:tabs>
          <w:tab w:val="left" w:pos="-540"/>
          <w:tab w:val="left" w:pos="0"/>
        </w:tabs>
        <w:ind w:left="180"/>
        <w:jc w:val="both"/>
        <w:rPr>
          <w:rFonts w:ascii="Times New Roman" w:hAnsi="Times New Roman"/>
          <w:color w:val="auto"/>
          <w:sz w:val="24"/>
          <w:szCs w:val="24"/>
          <w:lang w:val="it-IT"/>
        </w:rPr>
      </w:pPr>
    </w:p>
    <w:p w:rsidR="00BA6529" w:rsidRDefault="00BA6529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A6529" w:rsidRDefault="00BA6529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A6529" w:rsidRDefault="00BA6529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D3570C" w:rsidRPr="002A05E7" w:rsidRDefault="00B03906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MINISTRU</w:t>
      </w:r>
      <w:r w:rsidR="009C38B3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L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AFACERILOR EXTERNE    </w:t>
      </w:r>
      <w:r w:rsidR="008A56C2"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        </w:t>
      </w:r>
      <w:r w:rsidR="00BA6529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MINISTRUL JUSTIȚIEI</w:t>
      </w:r>
    </w:p>
    <w:p w:rsidR="008A56C2" w:rsidRPr="002A05E7" w:rsidRDefault="008A56C2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8A56C2" w:rsidRPr="002A05E7" w:rsidRDefault="008A56C2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</w:t>
      </w:r>
      <w:r w:rsidR="00BA6529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Teodor–Viorel MELEȘCANU                                           </w:t>
      </w:r>
      <w:r w:rsidR="00A66E0A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</w:t>
      </w:r>
      <w:r w:rsidR="00BA6529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Tudorel TOADER</w:t>
      </w:r>
    </w:p>
    <w:p w:rsidR="00B03906" w:rsidRPr="002A05E7" w:rsidRDefault="00B03906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03906" w:rsidRPr="002A05E7" w:rsidRDefault="00B03906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03906" w:rsidRPr="002A05E7" w:rsidRDefault="00B03906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8A56C2" w:rsidRPr="002A05E7" w:rsidRDefault="008A56C2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066E87" w:rsidRDefault="00066E87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066E87" w:rsidRDefault="00066E87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8065AD" w:rsidRDefault="008065AD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8065AD" w:rsidRDefault="008065AD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8065AD" w:rsidRDefault="008065AD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E1572" w:rsidRDefault="006E1572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sectPr w:rsidR="006E1572" w:rsidSect="00A177ED">
      <w:pgSz w:w="12240" w:h="15840"/>
      <w:pgMar w:top="719" w:right="54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B0DB8"/>
    <w:multiLevelType w:val="hybridMultilevel"/>
    <w:tmpl w:val="2BCA6E82"/>
    <w:lvl w:ilvl="0" w:tplc="FBFA58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615D6E"/>
    <w:multiLevelType w:val="hybridMultilevel"/>
    <w:tmpl w:val="851884B2"/>
    <w:lvl w:ilvl="0" w:tplc="368AB4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64AEE"/>
    <w:multiLevelType w:val="hybridMultilevel"/>
    <w:tmpl w:val="E95862FC"/>
    <w:lvl w:ilvl="0" w:tplc="E344699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B3DCF"/>
    <w:multiLevelType w:val="hybridMultilevel"/>
    <w:tmpl w:val="3AA2C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71F2"/>
    <w:multiLevelType w:val="hybridMultilevel"/>
    <w:tmpl w:val="00202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B3081"/>
    <w:multiLevelType w:val="hybridMultilevel"/>
    <w:tmpl w:val="E4EA7408"/>
    <w:lvl w:ilvl="0" w:tplc="DA0E0F34">
      <w:start w:val="1"/>
      <w:numFmt w:val="lowerLetter"/>
      <w:lvlText w:val="(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0251E"/>
    <w:multiLevelType w:val="hybridMultilevel"/>
    <w:tmpl w:val="22FEE1C6"/>
    <w:lvl w:ilvl="0" w:tplc="104C8D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CCA19E1"/>
    <w:multiLevelType w:val="hybridMultilevel"/>
    <w:tmpl w:val="B2389B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422B3"/>
    <w:multiLevelType w:val="hybridMultilevel"/>
    <w:tmpl w:val="EF6A56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514"/>
    <w:multiLevelType w:val="hybridMultilevel"/>
    <w:tmpl w:val="7AA458DC"/>
    <w:lvl w:ilvl="0" w:tplc="42AC3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59F2"/>
    <w:multiLevelType w:val="hybridMultilevel"/>
    <w:tmpl w:val="35FE9C28"/>
    <w:lvl w:ilvl="0" w:tplc="3A8A2B6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554E5A"/>
    <w:multiLevelType w:val="hybridMultilevel"/>
    <w:tmpl w:val="A15E44A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E5EE4"/>
    <w:multiLevelType w:val="hybridMultilevel"/>
    <w:tmpl w:val="AB72E758"/>
    <w:lvl w:ilvl="0" w:tplc="B8E26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144167"/>
    <w:multiLevelType w:val="hybridMultilevel"/>
    <w:tmpl w:val="9E0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2" w15:restartNumberingAfterBreak="0">
    <w:nsid w:val="7F59494E"/>
    <w:multiLevelType w:val="hybridMultilevel"/>
    <w:tmpl w:val="6DA26FE8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4"/>
  </w:num>
  <w:num w:numId="16">
    <w:abstractNumId w:val="21"/>
  </w:num>
  <w:num w:numId="17">
    <w:abstractNumId w:val="20"/>
  </w:num>
  <w:num w:numId="18">
    <w:abstractNumId w:val="16"/>
  </w:num>
  <w:num w:numId="19">
    <w:abstractNumId w:val="17"/>
  </w:num>
  <w:num w:numId="20">
    <w:abstractNumId w:val="9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C"/>
    <w:rsid w:val="00003C45"/>
    <w:rsid w:val="00036119"/>
    <w:rsid w:val="00054AF5"/>
    <w:rsid w:val="00066E87"/>
    <w:rsid w:val="0008601B"/>
    <w:rsid w:val="00086369"/>
    <w:rsid w:val="000A202C"/>
    <w:rsid w:val="000A6F49"/>
    <w:rsid w:val="000B1F59"/>
    <w:rsid w:val="000B598D"/>
    <w:rsid w:val="000E01C1"/>
    <w:rsid w:val="000E2836"/>
    <w:rsid w:val="000F0F22"/>
    <w:rsid w:val="00102460"/>
    <w:rsid w:val="00137D80"/>
    <w:rsid w:val="001522B1"/>
    <w:rsid w:val="00153291"/>
    <w:rsid w:val="00161119"/>
    <w:rsid w:val="001661D6"/>
    <w:rsid w:val="00196EEB"/>
    <w:rsid w:val="001A48C9"/>
    <w:rsid w:val="001B53C9"/>
    <w:rsid w:val="001C1EB3"/>
    <w:rsid w:val="001E3084"/>
    <w:rsid w:val="001F2153"/>
    <w:rsid w:val="00220D0C"/>
    <w:rsid w:val="00227521"/>
    <w:rsid w:val="002318C1"/>
    <w:rsid w:val="002407A4"/>
    <w:rsid w:val="00243943"/>
    <w:rsid w:val="00243BD4"/>
    <w:rsid w:val="002451F5"/>
    <w:rsid w:val="00275A4B"/>
    <w:rsid w:val="00294CAD"/>
    <w:rsid w:val="00297126"/>
    <w:rsid w:val="002A05E7"/>
    <w:rsid w:val="002A6D02"/>
    <w:rsid w:val="00304AF5"/>
    <w:rsid w:val="0031565A"/>
    <w:rsid w:val="00330ECC"/>
    <w:rsid w:val="00336094"/>
    <w:rsid w:val="00344CA5"/>
    <w:rsid w:val="004062C6"/>
    <w:rsid w:val="004313FD"/>
    <w:rsid w:val="004376C1"/>
    <w:rsid w:val="00444749"/>
    <w:rsid w:val="0049227D"/>
    <w:rsid w:val="004B0661"/>
    <w:rsid w:val="004F79AC"/>
    <w:rsid w:val="005200E8"/>
    <w:rsid w:val="00542B1E"/>
    <w:rsid w:val="00565649"/>
    <w:rsid w:val="0056722E"/>
    <w:rsid w:val="00570CFA"/>
    <w:rsid w:val="005F003C"/>
    <w:rsid w:val="0060742E"/>
    <w:rsid w:val="0063128F"/>
    <w:rsid w:val="00670075"/>
    <w:rsid w:val="00680112"/>
    <w:rsid w:val="00685CAD"/>
    <w:rsid w:val="00693146"/>
    <w:rsid w:val="00693940"/>
    <w:rsid w:val="006A59E5"/>
    <w:rsid w:val="006B4113"/>
    <w:rsid w:val="006C2D0A"/>
    <w:rsid w:val="006D3DF2"/>
    <w:rsid w:val="006D7ABA"/>
    <w:rsid w:val="006E1572"/>
    <w:rsid w:val="006E6E82"/>
    <w:rsid w:val="00745D82"/>
    <w:rsid w:val="007A72FE"/>
    <w:rsid w:val="007B298D"/>
    <w:rsid w:val="007C5EB5"/>
    <w:rsid w:val="007D3646"/>
    <w:rsid w:val="007E3C23"/>
    <w:rsid w:val="007E4CE1"/>
    <w:rsid w:val="007F12A7"/>
    <w:rsid w:val="007F5AB3"/>
    <w:rsid w:val="0080408E"/>
    <w:rsid w:val="008065AD"/>
    <w:rsid w:val="00877393"/>
    <w:rsid w:val="00877CF7"/>
    <w:rsid w:val="00877FC9"/>
    <w:rsid w:val="00882BF3"/>
    <w:rsid w:val="00893A27"/>
    <w:rsid w:val="008A2101"/>
    <w:rsid w:val="008A2EB6"/>
    <w:rsid w:val="008A56C2"/>
    <w:rsid w:val="008B4EBA"/>
    <w:rsid w:val="008D5519"/>
    <w:rsid w:val="0090274F"/>
    <w:rsid w:val="00911AD6"/>
    <w:rsid w:val="00921F34"/>
    <w:rsid w:val="00946835"/>
    <w:rsid w:val="00953BBE"/>
    <w:rsid w:val="009740F5"/>
    <w:rsid w:val="0098270A"/>
    <w:rsid w:val="009A6E2E"/>
    <w:rsid w:val="009C38B3"/>
    <w:rsid w:val="009E56EB"/>
    <w:rsid w:val="009F0698"/>
    <w:rsid w:val="00A24F1B"/>
    <w:rsid w:val="00A32AA2"/>
    <w:rsid w:val="00A40B20"/>
    <w:rsid w:val="00A435FD"/>
    <w:rsid w:val="00A6553A"/>
    <w:rsid w:val="00A66E0A"/>
    <w:rsid w:val="00A831C1"/>
    <w:rsid w:val="00A91825"/>
    <w:rsid w:val="00A95D54"/>
    <w:rsid w:val="00AC2716"/>
    <w:rsid w:val="00AD58FD"/>
    <w:rsid w:val="00AE29B3"/>
    <w:rsid w:val="00B03906"/>
    <w:rsid w:val="00B25DBE"/>
    <w:rsid w:val="00B411D7"/>
    <w:rsid w:val="00B872F0"/>
    <w:rsid w:val="00BA6529"/>
    <w:rsid w:val="00BA7A5B"/>
    <w:rsid w:val="00BD3CBD"/>
    <w:rsid w:val="00BE3397"/>
    <w:rsid w:val="00C04261"/>
    <w:rsid w:val="00C052C9"/>
    <w:rsid w:val="00C56848"/>
    <w:rsid w:val="00C606C3"/>
    <w:rsid w:val="00C630C9"/>
    <w:rsid w:val="00C72BAD"/>
    <w:rsid w:val="00C72D64"/>
    <w:rsid w:val="00C8266E"/>
    <w:rsid w:val="00C84406"/>
    <w:rsid w:val="00CB37F0"/>
    <w:rsid w:val="00CC6138"/>
    <w:rsid w:val="00CD75E3"/>
    <w:rsid w:val="00D3570C"/>
    <w:rsid w:val="00D460E6"/>
    <w:rsid w:val="00D97F99"/>
    <w:rsid w:val="00DA3A61"/>
    <w:rsid w:val="00DC2C44"/>
    <w:rsid w:val="00DE1DE6"/>
    <w:rsid w:val="00DE1EB7"/>
    <w:rsid w:val="00E0769D"/>
    <w:rsid w:val="00E67647"/>
    <w:rsid w:val="00E807F4"/>
    <w:rsid w:val="00E8597C"/>
    <w:rsid w:val="00E92615"/>
    <w:rsid w:val="00EB7FC0"/>
    <w:rsid w:val="00EF1076"/>
    <w:rsid w:val="00F74B96"/>
    <w:rsid w:val="00FA4EE2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A078-AD49-4700-BF27-BDE4A25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0C"/>
    <w:pPr>
      <w:spacing w:after="0" w:line="240" w:lineRule="auto"/>
    </w:pPr>
    <w:rPr>
      <w:rFonts w:ascii="Calibri" w:eastAsia="Calibri" w:hAnsi="Calibri" w:cs="Times New Roman"/>
      <w:color w:val="00000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D3570C"/>
    <w:rPr>
      <w:b/>
      <w:bCs/>
      <w:sz w:val="26"/>
      <w:szCs w:val="26"/>
    </w:rPr>
  </w:style>
  <w:style w:type="paragraph" w:customStyle="1" w:styleId="doc-ti">
    <w:name w:val="doc-ti"/>
    <w:basedOn w:val="Normal"/>
    <w:rsid w:val="00D3570C"/>
    <w:pPr>
      <w:spacing w:before="209" w:after="105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bidi="ar-SA"/>
    </w:rPr>
  </w:style>
  <w:style w:type="paragraph" w:styleId="Footer">
    <w:name w:val="footer"/>
    <w:basedOn w:val="Normal"/>
    <w:link w:val="FooterChar"/>
    <w:rsid w:val="00D35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570C"/>
    <w:rPr>
      <w:rFonts w:ascii="Calibri" w:eastAsia="Calibri" w:hAnsi="Calibri" w:cs="Times New Roman"/>
      <w:color w:val="000000"/>
      <w:szCs w:val="20"/>
      <w:lang w:bidi="en-US"/>
    </w:rPr>
  </w:style>
  <w:style w:type="character" w:customStyle="1" w:styleId="sttpunct">
    <w:name w:val="st_tpunct"/>
    <w:basedOn w:val="DefaultParagraphFont"/>
    <w:rsid w:val="00D3570C"/>
  </w:style>
  <w:style w:type="paragraph" w:customStyle="1" w:styleId="CaracterCaracter1CharCharCaracterCaracter1CharCharCaracterCaracterCharCharCaracterCaracter">
    <w:name w:val="Caracter Caracter1 Char Char Caracter Caracter1 Char Char Caracter Caracter Char Char Caracter Caracter"/>
    <w:basedOn w:val="Normal"/>
    <w:rsid w:val="00A24F1B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paragraph" w:customStyle="1" w:styleId="CaracterCaracter1CharCharCaracterCaracter1CharCharCaracterCaracterCharCharCaracterCaracter0">
    <w:name w:val="Caracter Caracter1 Char Char Caracter Caracter1 Char Char Caracter Caracter Char Char Caracter Caracter"/>
    <w:basedOn w:val="Normal"/>
    <w:rsid w:val="00102460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86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1B"/>
    <w:rPr>
      <w:rFonts w:ascii="Calibri" w:eastAsia="Calibri" w:hAnsi="Calibri" w:cs="Times New Roman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1B"/>
    <w:rPr>
      <w:rFonts w:ascii="Calibri" w:eastAsia="Calibri" w:hAnsi="Calibri" w:cs="Times New Roman"/>
      <w:b/>
      <w:bCs/>
      <w:color w:val="00000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B"/>
    <w:rPr>
      <w:rFonts w:ascii="Segoe UI" w:eastAsia="Calibri" w:hAnsi="Segoe UI" w:cs="Segoe UI"/>
      <w:color w:val="000000"/>
      <w:sz w:val="18"/>
      <w:szCs w:val="18"/>
      <w:lang w:bidi="en-US"/>
    </w:rPr>
  </w:style>
  <w:style w:type="paragraph" w:customStyle="1" w:styleId="CaracterCaracter1CharCharCaracterCaracter1CharCharCaracterCaracterCharCharCaracterCaracter1">
    <w:name w:val="Caracter Caracter1 Char Char Caracter Caracter1 Char Char Caracter Caracter Char Char Caracter Caracter"/>
    <w:basedOn w:val="Normal"/>
    <w:rsid w:val="00921F34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character" w:styleId="Strong">
    <w:name w:val="Strong"/>
    <w:basedOn w:val="DefaultParagraphFont"/>
    <w:uiPriority w:val="22"/>
    <w:qFormat/>
    <w:rsid w:val="001661D6"/>
    <w:rPr>
      <w:b/>
      <w:bCs/>
    </w:rPr>
  </w:style>
  <w:style w:type="paragraph" w:styleId="BodyText">
    <w:name w:val="Body Text"/>
    <w:basedOn w:val="Normal"/>
    <w:link w:val="BodyTextChar"/>
    <w:rsid w:val="00003C45"/>
    <w:pPr>
      <w:jc w:val="both"/>
    </w:pPr>
    <w:rPr>
      <w:rFonts w:ascii="Times New Roman" w:eastAsia="Times New Roman" w:hAnsi="Times New Roman"/>
      <w:color w:val="auto"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003C45"/>
    <w:rPr>
      <w:rFonts w:ascii="Times New Roman" w:eastAsia="Times New Roman" w:hAnsi="Times New Roman" w:cs="Times New Roman"/>
      <w:sz w:val="28"/>
      <w:szCs w:val="20"/>
    </w:rPr>
  </w:style>
  <w:style w:type="character" w:customStyle="1" w:styleId="tpa1">
    <w:name w:val="tpa1"/>
    <w:basedOn w:val="DefaultParagraphFont"/>
    <w:rsid w:val="00B872F0"/>
  </w:style>
  <w:style w:type="paragraph" w:styleId="ListParagraph">
    <w:name w:val="List Paragraph"/>
    <w:basedOn w:val="Normal"/>
    <w:link w:val="ListParagraphChar"/>
    <w:uiPriority w:val="34"/>
    <w:qFormat/>
    <w:rsid w:val="000E2836"/>
    <w:pPr>
      <w:ind w:left="720"/>
      <w:contextualSpacing/>
    </w:pPr>
  </w:style>
  <w:style w:type="character" w:customStyle="1" w:styleId="Style1">
    <w:name w:val="Style1"/>
    <w:rsid w:val="001522B1"/>
    <w:rPr>
      <w:lang w:val="ro-RO"/>
    </w:rPr>
  </w:style>
  <w:style w:type="paragraph" w:styleId="PlainText">
    <w:name w:val="Plain Text"/>
    <w:aliases w:val=" Char"/>
    <w:basedOn w:val="Normal"/>
    <w:link w:val="PlainTextChar"/>
    <w:rsid w:val="001522B1"/>
    <w:rPr>
      <w:rFonts w:ascii="Courier New" w:eastAsia="Times New Roman" w:hAnsi="Courier New"/>
      <w:color w:val="auto"/>
      <w:sz w:val="20"/>
      <w:lang w:val="x-none" w:eastAsia="x-none" w:bidi="ar-SA"/>
    </w:rPr>
  </w:style>
  <w:style w:type="character" w:customStyle="1" w:styleId="PlainTextChar">
    <w:name w:val="Plain Text Char"/>
    <w:aliases w:val=" Char Char"/>
    <w:basedOn w:val="DefaultParagraphFont"/>
    <w:link w:val="PlainText"/>
    <w:rsid w:val="001522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297126"/>
    <w:rPr>
      <w:rFonts w:ascii="Calibri" w:eastAsia="Calibri" w:hAnsi="Calibri" w:cs="Times New Roman"/>
      <w:color w:val="00000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4C96-580D-4BCE-9406-4309C85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2006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Anna Roman</cp:lastModifiedBy>
  <cp:revision>55</cp:revision>
  <cp:lastPrinted>2018-04-27T05:38:00Z</cp:lastPrinted>
  <dcterms:created xsi:type="dcterms:W3CDTF">2017-07-11T13:48:00Z</dcterms:created>
  <dcterms:modified xsi:type="dcterms:W3CDTF">2018-04-27T10:02:00Z</dcterms:modified>
</cp:coreProperties>
</file>