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F8" w:rsidRDefault="00AB4CF8" w:rsidP="00AB4CF8">
      <w:pPr>
        <w:jc w:val="center"/>
        <w:outlineLvl w:val="0"/>
        <w:rPr>
          <w:b/>
        </w:rPr>
      </w:pPr>
      <w:r w:rsidRPr="00E81280">
        <w:rPr>
          <w:b/>
        </w:rPr>
        <w:t>NOTĂ DE FUNDAMENTARE</w:t>
      </w:r>
    </w:p>
    <w:tbl>
      <w:tblPr>
        <w:tblW w:w="105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AB4CF8" w:rsidRPr="00E81280" w:rsidTr="00A07E40">
        <w:trPr>
          <w:trHeight w:val="274"/>
        </w:trPr>
        <w:tc>
          <w:tcPr>
            <w:tcW w:w="10560" w:type="dxa"/>
            <w:gridSpan w:val="11"/>
          </w:tcPr>
          <w:p w:rsidR="00AB4CF8" w:rsidRPr="00E81280" w:rsidRDefault="00AB4CF8" w:rsidP="00A07E40">
            <w:pPr>
              <w:jc w:val="center"/>
              <w:rPr>
                <w:b/>
              </w:rPr>
            </w:pPr>
            <w:r w:rsidRPr="00E81280">
              <w:rPr>
                <w:b/>
              </w:rPr>
              <w:t>Secţiunea 1: Titlul proiectului de act normativ</w:t>
            </w:r>
          </w:p>
        </w:tc>
      </w:tr>
      <w:tr w:rsidR="00AB4CF8" w:rsidRPr="00E81280" w:rsidTr="00A07E40">
        <w:trPr>
          <w:trHeight w:val="503"/>
        </w:trPr>
        <w:tc>
          <w:tcPr>
            <w:tcW w:w="10560" w:type="dxa"/>
            <w:gridSpan w:val="11"/>
          </w:tcPr>
          <w:p w:rsidR="00AB4CF8" w:rsidRPr="00B65135" w:rsidRDefault="00AB4CF8" w:rsidP="00A07E40">
            <w:pPr>
              <w:jc w:val="center"/>
              <w:rPr>
                <w:b/>
              </w:rPr>
            </w:pPr>
            <w:r w:rsidRPr="00B65135">
              <w:rPr>
                <w:b/>
              </w:rPr>
              <w:t>HOTĂRÂRE A GUVERNULUI</w:t>
            </w:r>
          </w:p>
          <w:p w:rsidR="00AB4CF8" w:rsidRPr="00BC15B3" w:rsidRDefault="00AB4CF8" w:rsidP="00D270F2">
            <w:pPr>
              <w:jc w:val="center"/>
              <w:rPr>
                <w:b/>
                <w:bCs/>
              </w:rPr>
            </w:pPr>
            <w:r w:rsidRPr="00B65135">
              <w:rPr>
                <w:b/>
              </w:rPr>
              <w:t>pentru aprobarea scoaterii definitive din fondul forestier naţional a terenului în suprafaţă de 56,1579 ha de către S.C. Deva Gold S.A., în vederea realizării obiectivului „Exploatarea minereurilor auro-argintifere din Perimetrul Certej”</w:t>
            </w:r>
          </w:p>
        </w:tc>
      </w:tr>
      <w:tr w:rsidR="00AB4CF8" w:rsidRPr="00E81280" w:rsidTr="00A07E40">
        <w:trPr>
          <w:trHeight w:val="503"/>
        </w:trPr>
        <w:tc>
          <w:tcPr>
            <w:tcW w:w="10560" w:type="dxa"/>
            <w:gridSpan w:val="11"/>
          </w:tcPr>
          <w:p w:rsidR="00AB4CF8" w:rsidRDefault="00AB4CF8" w:rsidP="00A07E40">
            <w:pPr>
              <w:jc w:val="center"/>
              <w:rPr>
                <w:b/>
              </w:rPr>
            </w:pPr>
            <w:r w:rsidRPr="00E81280">
              <w:rPr>
                <w:b/>
              </w:rPr>
              <w:t xml:space="preserve">Secţiunea </w:t>
            </w:r>
            <w:r>
              <w:rPr>
                <w:b/>
              </w:rPr>
              <w:t>a 2-a</w:t>
            </w:r>
            <w:r w:rsidRPr="00E81280">
              <w:rPr>
                <w:b/>
              </w:rPr>
              <w:t xml:space="preserve">: </w:t>
            </w:r>
            <w:r w:rsidRPr="00AB6476">
              <w:rPr>
                <w:b/>
              </w:rPr>
              <w:t>Motivul emiterii actului normativ</w:t>
            </w:r>
          </w:p>
        </w:tc>
      </w:tr>
      <w:tr w:rsidR="00AB4CF8" w:rsidRPr="00E81280" w:rsidTr="00A07E40">
        <w:trPr>
          <w:trHeight w:val="503"/>
        </w:trPr>
        <w:tc>
          <w:tcPr>
            <w:tcW w:w="2683" w:type="dxa"/>
            <w:gridSpan w:val="2"/>
          </w:tcPr>
          <w:p w:rsidR="00AB4CF8" w:rsidRPr="00E81280" w:rsidRDefault="00AB4CF8" w:rsidP="00A07E40">
            <w:pPr>
              <w:rPr>
                <w:b/>
              </w:rPr>
            </w:pPr>
            <w:r w:rsidRPr="00E81280">
              <w:t>1. Descrierea situaţiei actuale</w:t>
            </w:r>
          </w:p>
        </w:tc>
        <w:tc>
          <w:tcPr>
            <w:tcW w:w="7877" w:type="dxa"/>
            <w:gridSpan w:val="9"/>
          </w:tcPr>
          <w:p w:rsidR="009C4AD8" w:rsidRDefault="00AB4CF8" w:rsidP="00F55979">
            <w:pPr>
              <w:pStyle w:val="NoSpacing"/>
              <w:ind w:firstLine="721"/>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Perimetrul minier Certej este inclus în ,,Patrulaterul aurifer Săcărâmb-Brad-Roșia </w:t>
            </w:r>
            <w:r w:rsidR="00224402">
              <w:rPr>
                <w:rFonts w:ascii="Times New Roman" w:eastAsia="Times New Roman" w:hAnsi="Times New Roman"/>
                <w:sz w:val="24"/>
                <w:szCs w:val="24"/>
                <w:lang w:val="ro-RO"/>
              </w:rPr>
              <w:t>M</w:t>
            </w:r>
            <w:r>
              <w:rPr>
                <w:rFonts w:ascii="Times New Roman" w:eastAsia="Times New Roman" w:hAnsi="Times New Roman"/>
                <w:sz w:val="24"/>
                <w:szCs w:val="24"/>
                <w:lang w:val="ro-RO"/>
              </w:rPr>
              <w:t>ontană-Baia de Arieș unde mineritul este o activitate tradițională.</w:t>
            </w:r>
          </w:p>
          <w:p w:rsidR="00AB4CF8" w:rsidRDefault="00AB4CF8" w:rsidP="00F55979">
            <w:pPr>
              <w:pStyle w:val="NoSpacing"/>
              <w:ind w:firstLine="721"/>
              <w:jc w:val="both"/>
              <w:rPr>
                <w:rFonts w:ascii="Times New Roman" w:eastAsia="Times New Roman" w:hAnsi="Times New Roman"/>
                <w:sz w:val="24"/>
                <w:szCs w:val="24"/>
                <w:lang w:val="ro-RO"/>
              </w:rPr>
            </w:pPr>
            <w:r>
              <w:rPr>
                <w:rFonts w:ascii="Times New Roman" w:eastAsia="Times New Roman" w:hAnsi="Times New Roman"/>
                <w:sz w:val="24"/>
                <w:szCs w:val="24"/>
                <w:lang w:val="ro-RO"/>
              </w:rPr>
              <w:t>Proiectul propus are ca obiectiv principal continuarea și dezvoltarea activității miniere de carieră pentru extracția mineralelor cu conținut de metale prețioase – aur și argint – în perimetrul Licenței de exploatare nr. 435/1999, intrată în vigoare prin H</w:t>
            </w:r>
            <w:r w:rsidR="009C4AD8">
              <w:rPr>
                <w:rFonts w:ascii="Times New Roman" w:eastAsia="Times New Roman" w:hAnsi="Times New Roman"/>
                <w:sz w:val="24"/>
                <w:szCs w:val="24"/>
                <w:lang w:val="ro-RO"/>
              </w:rPr>
              <w:t>G</w:t>
            </w:r>
            <w:r>
              <w:rPr>
                <w:rFonts w:ascii="Times New Roman" w:eastAsia="Times New Roman" w:hAnsi="Times New Roman"/>
                <w:sz w:val="24"/>
                <w:szCs w:val="24"/>
                <w:lang w:val="ro-RO"/>
              </w:rPr>
              <w:t xml:space="preserve"> nr. 51/24.01.</w:t>
            </w:r>
            <w:r w:rsidR="009C4AD8">
              <w:rPr>
                <w:rFonts w:ascii="Times New Roman" w:eastAsia="Times New Roman" w:hAnsi="Times New Roman"/>
                <w:sz w:val="24"/>
                <w:szCs w:val="24"/>
                <w:lang w:val="ro-RO"/>
              </w:rPr>
              <w:t>2000 odată cu publicarea acesteia în Monitorul Oficial al României nr. 26/25.01.2000.</w:t>
            </w:r>
          </w:p>
          <w:p w:rsidR="00AB4CF8" w:rsidRDefault="00AB4CF8" w:rsidP="00A07E40">
            <w:pPr>
              <w:autoSpaceDE w:val="0"/>
              <w:autoSpaceDN w:val="0"/>
              <w:adjustRightInd w:val="0"/>
              <w:jc w:val="both"/>
            </w:pPr>
          </w:p>
          <w:p w:rsidR="00AB4CF8" w:rsidRPr="00D6340D" w:rsidRDefault="00AB4CF8" w:rsidP="00F55979">
            <w:pPr>
              <w:autoSpaceDE w:val="0"/>
              <w:autoSpaceDN w:val="0"/>
              <w:adjustRightInd w:val="0"/>
              <w:ind w:firstLine="721"/>
              <w:jc w:val="both"/>
            </w:pPr>
            <w:r w:rsidRPr="00D6340D">
              <w:t>În vederea realizării obiectivului</w:t>
            </w:r>
            <w:r w:rsidR="00F55979">
              <w:t xml:space="preserve"> </w:t>
            </w:r>
            <w:r w:rsidR="00F55979" w:rsidRPr="00F55979">
              <w:t>„Exploatarea minereurilor auro-argintifere din Perimetrul Certej”</w:t>
            </w:r>
            <w:r w:rsidRPr="00D6340D">
              <w:t xml:space="preserve"> s-au emis :</w:t>
            </w:r>
          </w:p>
          <w:p w:rsidR="00AB4CF8" w:rsidRDefault="00AB4CF8" w:rsidP="00A07E40">
            <w:pPr>
              <w:autoSpaceDE w:val="0"/>
              <w:autoSpaceDN w:val="0"/>
              <w:adjustRightInd w:val="0"/>
              <w:jc w:val="both"/>
            </w:pPr>
            <w:r w:rsidRPr="00D6340D">
              <w:t xml:space="preserve"> - HG nr. </w:t>
            </w:r>
            <w:r w:rsidR="009C4AD8">
              <w:t>5</w:t>
            </w:r>
            <w:r>
              <w:t>1</w:t>
            </w:r>
            <w:r w:rsidRPr="00D6340D">
              <w:t>/20</w:t>
            </w:r>
            <w:r w:rsidR="00CC044B">
              <w:t>00</w:t>
            </w:r>
            <w:r w:rsidRPr="00D6340D">
              <w:t xml:space="preserve"> pentru aprobarea </w:t>
            </w:r>
            <w:r w:rsidR="00CC044B">
              <w:t>unor licențe de concesiune a activităților de exploatare, încheiate între Agenția Națională pentru Resurse Minerale și Compania Națională a Cuprului, Aurului și Fierului ,,Minvest</w:t>
            </w:r>
            <w:r w:rsidR="00CC044B" w:rsidRPr="00D6340D">
              <w:t>”</w:t>
            </w:r>
            <w:r w:rsidRPr="00D6340D">
              <w:t>;</w:t>
            </w:r>
          </w:p>
          <w:p w:rsidR="00BD257F" w:rsidRDefault="00BD257F" w:rsidP="00A07E40">
            <w:pPr>
              <w:autoSpaceDE w:val="0"/>
              <w:autoSpaceDN w:val="0"/>
              <w:adjustRightInd w:val="0"/>
              <w:jc w:val="both"/>
            </w:pPr>
            <w:r>
              <w:t xml:space="preserve"> - </w:t>
            </w:r>
            <w:r w:rsidR="00F44297">
              <w:t>Ordinul Președintelui A.N.R.M. nr. 192/7.12.2001</w:t>
            </w:r>
            <w:r w:rsidR="00F44297">
              <w:rPr>
                <w:rFonts w:ascii="Verdana" w:hAnsi="Verdana"/>
                <w:color w:val="000000"/>
                <w:sz w:val="23"/>
                <w:szCs w:val="23"/>
                <w:shd w:val="clear" w:color="auto" w:fill="FFFFFF"/>
              </w:rPr>
              <w:t xml:space="preserve"> </w:t>
            </w:r>
            <w:r w:rsidRPr="00F44297">
              <w:t>privind transferul licenţei de concesiune pentru exploatarea minereurilor auro-argentifere şi polimetalice din perimetrul "Certej", încheiată între Agenţia Naţionala pentru Resurse Minerale şi Compania Naţi</w:t>
            </w:r>
            <w:bookmarkStart w:id="0" w:name="_GoBack"/>
            <w:bookmarkEnd w:id="0"/>
            <w:r w:rsidRPr="00F44297">
              <w:t>onala a Cuprului, Aurului şi Fierului "Minvest" - S.A.</w:t>
            </w:r>
            <w:r w:rsidR="00F44297">
              <w:t>, în care la art. 1 se prevede transferul licenței nr. 435/1999 către S.C. Deva Gold S.A.</w:t>
            </w:r>
            <w:r w:rsidR="006900D7">
              <w:rPr>
                <w:lang w:val="en-GB"/>
              </w:rPr>
              <w:t xml:space="preserve"> ;</w:t>
            </w:r>
          </w:p>
          <w:p w:rsidR="00CC044B" w:rsidRDefault="00CC044B" w:rsidP="00A07E40">
            <w:pPr>
              <w:autoSpaceDE w:val="0"/>
              <w:autoSpaceDN w:val="0"/>
              <w:adjustRightInd w:val="0"/>
              <w:jc w:val="both"/>
            </w:pPr>
            <w:r>
              <w:t xml:space="preserve"> - adresa Agenției Naționale pentru Resurse Minerale nr. 11560/19.09.2016 </w:t>
            </w:r>
            <w:r w:rsidR="00F44297">
              <w:t>referitoare la titularul licenței de exploatare nr. 435/1999</w:t>
            </w:r>
            <w:r w:rsidR="006900D7">
              <w:rPr>
                <w:lang w:val="en-GB"/>
              </w:rPr>
              <w:t>;</w:t>
            </w:r>
            <w:r>
              <w:t xml:space="preserve"> </w:t>
            </w:r>
          </w:p>
          <w:p w:rsidR="003D16DB" w:rsidRDefault="003D16DB" w:rsidP="00A07E40">
            <w:pPr>
              <w:autoSpaceDE w:val="0"/>
              <w:autoSpaceDN w:val="0"/>
              <w:adjustRightInd w:val="0"/>
              <w:jc w:val="both"/>
              <w:rPr>
                <w:lang w:val="en-GB"/>
              </w:rPr>
            </w:pPr>
            <w:r>
              <w:rPr>
                <w:lang w:val="en-GB"/>
              </w:rPr>
              <w:t xml:space="preserve">- Acord de mediu </w:t>
            </w:r>
            <w:r w:rsidR="00995D5D">
              <w:rPr>
                <w:lang w:val="en-GB"/>
              </w:rPr>
              <w:t>nr. 8/05.07.2012 revizuit la data de 28.11.2013 emis de către Agenția pentru Protecția Mediului Hunedoara;</w:t>
            </w:r>
          </w:p>
          <w:p w:rsidR="00995D5D" w:rsidRDefault="00995D5D" w:rsidP="00A07E40">
            <w:pPr>
              <w:autoSpaceDE w:val="0"/>
              <w:autoSpaceDN w:val="0"/>
              <w:adjustRightInd w:val="0"/>
              <w:jc w:val="both"/>
              <w:rPr>
                <w:lang w:val="en-GB"/>
              </w:rPr>
            </w:pPr>
            <w:r>
              <w:rPr>
                <w:lang w:val="en-GB"/>
              </w:rPr>
              <w:t>- Decizia nr. 4471/24.05.2017 emisă de către Agenția pentru Protecția Mediului Hunedoara;</w:t>
            </w:r>
          </w:p>
          <w:p w:rsidR="00995D5D" w:rsidRDefault="00995D5D" w:rsidP="00A07E40">
            <w:pPr>
              <w:autoSpaceDE w:val="0"/>
              <w:autoSpaceDN w:val="0"/>
              <w:adjustRightInd w:val="0"/>
              <w:jc w:val="both"/>
              <w:rPr>
                <w:lang w:val="en-GB"/>
              </w:rPr>
            </w:pPr>
            <w:r>
              <w:rPr>
                <w:lang w:val="en-GB"/>
              </w:rPr>
              <w:t>- adresa Agenției pentru Protecția Mediului Hunedoara nr. 1061/08.02.2018;</w:t>
            </w:r>
          </w:p>
          <w:p w:rsidR="00995D5D" w:rsidRDefault="00995D5D" w:rsidP="00995D5D">
            <w:pPr>
              <w:autoSpaceDE w:val="0"/>
              <w:autoSpaceDN w:val="0"/>
              <w:adjustRightInd w:val="0"/>
              <w:jc w:val="both"/>
              <w:rPr>
                <w:lang w:val="en-GB"/>
              </w:rPr>
            </w:pPr>
            <w:r>
              <w:rPr>
                <w:lang w:val="en-GB"/>
              </w:rPr>
              <w:t xml:space="preserve">- Decizia etapei de încadrare nr. 15/19.01.2018 emisă de Agenția </w:t>
            </w:r>
            <w:r w:rsidR="00402DBD">
              <w:rPr>
                <w:lang w:val="en-GB"/>
              </w:rPr>
              <w:t>pentru</w:t>
            </w:r>
            <w:r>
              <w:rPr>
                <w:lang w:val="en-GB"/>
              </w:rPr>
              <w:t xml:space="preserve"> Protecția Mediului Timiș;</w:t>
            </w:r>
          </w:p>
          <w:p w:rsidR="00995D5D" w:rsidRDefault="006900D7" w:rsidP="00A07E40">
            <w:pPr>
              <w:autoSpaceDE w:val="0"/>
              <w:autoSpaceDN w:val="0"/>
              <w:adjustRightInd w:val="0"/>
              <w:jc w:val="both"/>
              <w:rPr>
                <w:lang w:val="en-GB"/>
              </w:rPr>
            </w:pPr>
            <w:r>
              <w:t xml:space="preserve">- </w:t>
            </w:r>
            <w:r w:rsidRPr="00D6340D">
              <w:t xml:space="preserve">Avizul </w:t>
            </w:r>
            <w:r>
              <w:t>Gărzii Forestiere</w:t>
            </w:r>
            <w:r w:rsidRPr="00D6340D">
              <w:t xml:space="preserve"> Timişoara nr. </w:t>
            </w:r>
            <w:r>
              <w:t>8319</w:t>
            </w:r>
            <w:r w:rsidRPr="00D6340D">
              <w:t>/</w:t>
            </w:r>
            <w:r>
              <w:t>27</w:t>
            </w:r>
            <w:r w:rsidRPr="00D6340D">
              <w:t>.</w:t>
            </w:r>
            <w:r>
              <w:t>07</w:t>
            </w:r>
            <w:r w:rsidRPr="00D6340D">
              <w:t>.201</w:t>
            </w:r>
            <w:r>
              <w:t>8</w:t>
            </w:r>
            <w:r w:rsidR="00007D89">
              <w:t>.</w:t>
            </w:r>
          </w:p>
          <w:p w:rsidR="00995D5D" w:rsidRPr="00AB4FB8" w:rsidRDefault="00995D5D" w:rsidP="00A07E40">
            <w:pPr>
              <w:autoSpaceDE w:val="0"/>
              <w:autoSpaceDN w:val="0"/>
              <w:adjustRightInd w:val="0"/>
              <w:jc w:val="both"/>
              <w:rPr>
                <w:lang w:val="en-GB"/>
              </w:rPr>
            </w:pPr>
          </w:p>
          <w:p w:rsidR="00AB4CF8" w:rsidRPr="00D6340D" w:rsidRDefault="00AB4CF8" w:rsidP="00F55979">
            <w:pPr>
              <w:autoSpaceDE w:val="0"/>
              <w:autoSpaceDN w:val="0"/>
              <w:adjustRightInd w:val="0"/>
              <w:ind w:firstLine="721"/>
              <w:jc w:val="both"/>
            </w:pPr>
            <w:r>
              <w:t>Realizarea obiectivului ,,</w:t>
            </w:r>
            <w:r w:rsidR="006900D7" w:rsidRPr="006900D7">
              <w:t>Exploatarea minereurilor auro-argintifere din Perimetrul Certej</w:t>
            </w:r>
            <w:r>
              <w:t xml:space="preserve">” se încadrează la excepţiile pentru care se permite reducerea suprafeţei fondului forestier naţional prevăzute la art. 37 alin. 1 lit. </w:t>
            </w:r>
            <w:r w:rsidR="00BD631D">
              <w:t>a</w:t>
            </w:r>
            <w:r>
              <w:t>) din Legea nr. 46/2008 Codul silvic, republicată, cu modificările și completările ulterioare.</w:t>
            </w:r>
          </w:p>
          <w:p w:rsidR="00AB4CF8" w:rsidRDefault="00BD631D" w:rsidP="00F55979">
            <w:pPr>
              <w:autoSpaceDE w:val="0"/>
              <w:autoSpaceDN w:val="0"/>
              <w:adjustRightInd w:val="0"/>
              <w:ind w:firstLine="721"/>
              <w:jc w:val="both"/>
            </w:pPr>
            <w:r>
              <w:t>Pentru realizarea obiectivului ,,</w:t>
            </w:r>
            <w:r w:rsidRPr="006900D7">
              <w:t>Exploatarea minereurilor auro-argintifere din Perimetrul Certej</w:t>
            </w:r>
            <w:r>
              <w:t xml:space="preserve">”, SC </w:t>
            </w:r>
            <w:r w:rsidRPr="00BD631D">
              <w:t>Deva Gold S.A.</w:t>
            </w:r>
            <w:r>
              <w:t xml:space="preserve"> a solicitat </w:t>
            </w:r>
            <w:r w:rsidRPr="00BD631D">
              <w:t>aprobarea scoaterii definitive din fondul forestier naţional a terenului în suprafaţă de 56,1579 ha.</w:t>
            </w:r>
          </w:p>
          <w:p w:rsidR="00AB4CF8" w:rsidRDefault="001769B2" w:rsidP="00F55979">
            <w:pPr>
              <w:ind w:right="59" w:firstLine="721"/>
              <w:jc w:val="both"/>
            </w:pPr>
            <w:r>
              <w:t>T</w:t>
            </w:r>
            <w:r w:rsidR="00AB4CF8" w:rsidRPr="006E27E2">
              <w:t xml:space="preserve">erenul în suprafaţă de </w:t>
            </w:r>
            <w:r w:rsidRPr="00BD631D">
              <w:t xml:space="preserve">56,1579 </w:t>
            </w:r>
            <w:r w:rsidR="00AB4CF8" w:rsidRPr="006E27E2">
              <w:t>ha care se scoate din fondul forestier este proprietate a</w:t>
            </w:r>
            <w:r w:rsidRPr="001769B2">
              <w:t xml:space="preserve"> S.C. Deva Gold S.A. și este administrat de Direcția Silvică Hunedoara</w:t>
            </w:r>
            <w:r w:rsidR="009D2C19">
              <w:t xml:space="preserve"> prin</w:t>
            </w:r>
            <w:r w:rsidRPr="001769B2">
              <w:t xml:space="preserve"> Ocolul Silvic Simeria</w:t>
            </w:r>
            <w:r w:rsidR="00AB4CF8" w:rsidRPr="006E27E2">
              <w:t>.</w:t>
            </w:r>
          </w:p>
          <w:p w:rsidR="001769B2" w:rsidRDefault="001769B2" w:rsidP="001769B2">
            <w:pPr>
              <w:ind w:right="59"/>
              <w:jc w:val="both"/>
            </w:pPr>
          </w:p>
          <w:p w:rsidR="001769B2" w:rsidRDefault="001769B2" w:rsidP="00F55979">
            <w:pPr>
              <w:ind w:right="59" w:firstLine="721"/>
              <w:jc w:val="both"/>
            </w:pPr>
            <w:r w:rsidRPr="001769B2">
              <w:t xml:space="preserve">Amplasamentul terenului </w:t>
            </w:r>
            <w:r w:rsidR="00F55979">
              <w:t xml:space="preserve">care se scoate definitiv din fondul forestier național </w:t>
            </w:r>
            <w:r w:rsidRPr="001769B2">
              <w:t xml:space="preserve">este pe raza Ocolului Silvic Simeria în U.P. I Deva Gold u.a.92A%=0,5055 ha, u.a.93A%=4,7899 ha, u.a.93C=1,0004 ha, u.a.94A%=6,9683 ha, u.a.94B=0,9146 ha, u.a. 95A%=4,1660 ha, u.a. 95B%=0,1214 ha, u.a. 95C%=3,7889 ha, u.a. 96%=0,3931 ha, u.a. 97A%=0,5218 ha, u.a. 97B%=0,9039 ha, u.a.98A%=0,0428 ha, u.a.98B%=0,6550 ha, u.a.99A%=0,0515 ha, u.a.99B%=1,9751 ha, u.a.99C%=2,2511 ha, u.a.99D%=0,4907 ha, u.a.99N=0,8856 ha, u.a.101%=0,5714 ha, u.a.108%=0,0715 ha, u.a.110A%=4,4723 ha, u.a.110R%=0,1536 ha, u.a.110N%=0,0335 ha, u.a.111G%=0,0382 ha, </w:t>
            </w:r>
            <w:r w:rsidRPr="001769B2">
              <w:lastRenderedPageBreak/>
              <w:t>u.a.111N%=0,1661 ha, u.a.112B%=0,2378 ha, u.a.113A=1,6394 ha, u.a.113B%=0,9308 ha, u.a.113C=3,6362 ha, u.a.113D%=1,1137 ha, u.a.113E=0,3645 ha, u.a.113G%=0,5162 ha, u.a.228=2,0230 ha, u.a.230A=1,7937 ha, u.a.230B=1,5931 ha, u.a.230C=0,2477 ha, u.a.230D=0,8300 ha, u.a.231B%=4,2102 ha, u.a.232%=0,4887 ha, u.a.233A%=0,1430 ha, u.a.233B%=0,3438 ha</w:t>
            </w:r>
            <w:r w:rsidR="009D2C19">
              <w:t xml:space="preserve"> și</w:t>
            </w:r>
            <w:r w:rsidRPr="001769B2">
              <w:t xml:space="preserve"> u.a.233C%=0,1139 ha</w:t>
            </w:r>
            <w:r>
              <w:t>.</w:t>
            </w:r>
          </w:p>
          <w:p w:rsidR="001769B2" w:rsidRPr="00B82F9A" w:rsidRDefault="001769B2" w:rsidP="00F55979">
            <w:pPr>
              <w:autoSpaceDE w:val="0"/>
              <w:autoSpaceDN w:val="0"/>
              <w:adjustRightInd w:val="0"/>
              <w:ind w:firstLine="721"/>
              <w:jc w:val="both"/>
            </w:pPr>
            <w:r w:rsidRPr="00B82F9A">
              <w:t>Defrișarea vegetației forestiere se va realiza pe suprafața de 53,3863 ha, amplasată pe raza Ocolului Silvic Simeria în U.P. I Deva Gold în u.a.92A%=0,5055 ha, u.a.93A%=4,7899 ha, u.a.93C=1,0004 ha, u.a.94A%=6,9683 ha, u.a.94B=0,9146 ha, u.a.95A%=4,1660 ha, u.a.95B%=0,1214 ha, u.a.95C%=3,7889 ha, u.a.96%=0,3931 ha, u.a.97A%=0,5218 ha, u.a.97B%=0,9039 ha, u.a.98A%=0,0428 ha, u.a.99A%=0,0515 ha, u.a.99B%=1,9751 ha, u.a.99C%=2,2511 ha, u.a.99D%=0,4907 ha, u.a.101%=0,5714 ha, u.a.108%=0,0715 ha, u.a.110A%=4,4723 ha, u.a.111G%=0,0382 ha, u.a.112B%=0,2378 ha, u.a.113A=1,6394 ha, u.a.113B%=0,9308 ha, u.a.113C=3,6362 ha, u.a.113D%=1,1137 ha, u.a.113E=0,3645 ha, u.a.228=2,0230 ha, u.a.230A=1,7937 ha, u.a.230B=1,5931 ha, u.a.230D=0,8300 ha, u.a.231B%=4,2102 ha, u.a.232%=0,4887 ha, u.a.233A%=0,1430 ha</w:t>
            </w:r>
            <w:r w:rsidR="009D2C19">
              <w:t xml:space="preserve"> și</w:t>
            </w:r>
            <w:r w:rsidRPr="00B82F9A">
              <w:t xml:space="preserve"> u.a.233B%=0,3438 ha.</w:t>
            </w:r>
          </w:p>
          <w:p w:rsidR="00AB4CF8" w:rsidRPr="008265F5" w:rsidRDefault="00F10E70" w:rsidP="00F55979">
            <w:pPr>
              <w:autoSpaceDE w:val="0"/>
              <w:autoSpaceDN w:val="0"/>
              <w:adjustRightInd w:val="0"/>
              <w:ind w:firstLine="721"/>
              <w:jc w:val="both"/>
            </w:pPr>
            <w:r w:rsidRPr="008265F5">
              <w:t>Masa lemnoasă se va precompta și se va exploata conform prevederilor legale în vigoare.</w:t>
            </w:r>
          </w:p>
          <w:p w:rsidR="00F55979" w:rsidRDefault="00F55979" w:rsidP="00F55979">
            <w:pPr>
              <w:pStyle w:val="BodyText3"/>
              <w:ind w:firstLine="721"/>
              <w:jc w:val="both"/>
              <w:rPr>
                <w:sz w:val="24"/>
                <w:szCs w:val="24"/>
              </w:rPr>
            </w:pPr>
          </w:p>
          <w:p w:rsidR="00F10E70" w:rsidRDefault="00F10E70" w:rsidP="00F55979">
            <w:pPr>
              <w:autoSpaceDE w:val="0"/>
              <w:autoSpaceDN w:val="0"/>
              <w:adjustRightInd w:val="0"/>
              <w:ind w:firstLine="721"/>
              <w:jc w:val="both"/>
            </w:pPr>
            <w:r>
              <w:t xml:space="preserve">Scoaterea definitivă din fondul forestier național se face cu compensare echivalentă cu terenuri în suprafață de 168,6241 ha, proprietate a S.C. Deva Gold S.A., amplasate în perimetrul Pogănești </w:t>
            </w:r>
            <w:r w:rsidR="009D2C19">
              <w:t>pentru</w:t>
            </w:r>
            <w:r>
              <w:t xml:space="preserve"> suprafața de 88,0675 ha, în perimetrul Povergina </w:t>
            </w:r>
            <w:r w:rsidR="009D2C19">
              <w:t>pentru</w:t>
            </w:r>
            <w:r>
              <w:t xml:space="preserve"> suprafața de 45,3069 ha și în perimetrul Secaș </w:t>
            </w:r>
            <w:r w:rsidR="009D2C19">
              <w:t>pentru</w:t>
            </w:r>
            <w:r>
              <w:t xml:space="preserve"> suprafața de 35,2497 ha.</w:t>
            </w:r>
          </w:p>
          <w:p w:rsidR="00F10E70" w:rsidRDefault="00F10E70" w:rsidP="00F55979">
            <w:pPr>
              <w:autoSpaceDE w:val="0"/>
              <w:autoSpaceDN w:val="0"/>
              <w:adjustRightInd w:val="0"/>
              <w:ind w:firstLine="721"/>
              <w:jc w:val="both"/>
            </w:pPr>
            <w:r>
              <w:t>1. Terenul din perimetrul Pogănești, în suprafață de 88,0675 ha, este</w:t>
            </w:r>
            <w:r w:rsidRPr="00AF6F7C">
              <w:t xml:space="preserve"> limitrof fondului forestier O.S. Lugoj, U.P. II Valea Lungă</w:t>
            </w:r>
            <w:r>
              <w:t>,</w:t>
            </w:r>
            <w:r w:rsidRPr="00AF6F7C">
              <w:t xml:space="preserve"> </w:t>
            </w:r>
            <w:r>
              <w:t xml:space="preserve">este situat </w:t>
            </w:r>
            <w:r w:rsidRPr="00AF6F7C">
              <w:t>extravila</w:t>
            </w:r>
            <w:r>
              <w:t>nul</w:t>
            </w:r>
            <w:r w:rsidRPr="00AF6F7C">
              <w:t xml:space="preserve"> U.A.T. Bârna</w:t>
            </w:r>
            <w:r>
              <w:t>,</w:t>
            </w:r>
            <w:r w:rsidR="00084EDE">
              <w:t xml:space="preserve"> jud. Timiș</w:t>
            </w:r>
            <w:r>
              <w:t xml:space="preserve"> și se identifică cu următoarele numere cadastrale: </w:t>
            </w:r>
            <w:r w:rsidRPr="0099093E">
              <w:t>400241</w:t>
            </w:r>
            <w:r>
              <w:t xml:space="preserve"> pentru </w:t>
            </w:r>
            <w:r w:rsidRPr="0099093E">
              <w:t>26,494</w:t>
            </w:r>
            <w:r>
              <w:t>0</w:t>
            </w:r>
            <w:r w:rsidRPr="0099093E">
              <w:t xml:space="preserve"> ha</w:t>
            </w:r>
            <w:r>
              <w:t>,</w:t>
            </w:r>
            <w:r w:rsidRPr="0099093E">
              <w:t xml:space="preserve"> 400268</w:t>
            </w:r>
            <w:r>
              <w:t xml:space="preserve"> pentru </w:t>
            </w:r>
            <w:r w:rsidRPr="0099093E">
              <w:t>8,157</w:t>
            </w:r>
            <w:r>
              <w:t>0</w:t>
            </w:r>
            <w:r w:rsidRPr="0099093E">
              <w:t xml:space="preserve"> ha</w:t>
            </w:r>
            <w:r>
              <w:t>,</w:t>
            </w:r>
            <w:r w:rsidRPr="0099093E">
              <w:t xml:space="preserve"> 400232</w:t>
            </w:r>
            <w:r>
              <w:t xml:space="preserve"> pentru </w:t>
            </w:r>
            <w:r w:rsidRPr="0099093E">
              <w:t>4,92</w:t>
            </w:r>
            <w:r>
              <w:t>00</w:t>
            </w:r>
            <w:r w:rsidRPr="0099093E">
              <w:t xml:space="preserve"> ha</w:t>
            </w:r>
            <w:r>
              <w:t>,</w:t>
            </w:r>
            <w:r w:rsidRPr="0099093E">
              <w:t xml:space="preserve"> 400244</w:t>
            </w:r>
            <w:r>
              <w:t xml:space="preserve"> pentru </w:t>
            </w:r>
            <w:r w:rsidRPr="0099093E">
              <w:t>0,4</w:t>
            </w:r>
            <w:r>
              <w:t>000</w:t>
            </w:r>
            <w:r w:rsidRPr="0099093E">
              <w:t xml:space="preserve"> ha</w:t>
            </w:r>
            <w:r>
              <w:t>,</w:t>
            </w:r>
            <w:r w:rsidRPr="0099093E">
              <w:t xml:space="preserve"> 400296</w:t>
            </w:r>
            <w:r>
              <w:t xml:space="preserve"> pentru </w:t>
            </w:r>
            <w:r w:rsidRPr="0099093E">
              <w:t>0,26</w:t>
            </w:r>
            <w:r>
              <w:t>00</w:t>
            </w:r>
            <w:r w:rsidRPr="0099093E">
              <w:t xml:space="preserve"> ha</w:t>
            </w:r>
            <w:r>
              <w:t>,</w:t>
            </w:r>
            <w:r w:rsidRPr="0099093E">
              <w:t xml:space="preserve"> 400234</w:t>
            </w:r>
            <w:r>
              <w:t xml:space="preserve"> pentru </w:t>
            </w:r>
            <w:r w:rsidRPr="0099093E">
              <w:t>0,25</w:t>
            </w:r>
            <w:r>
              <w:t>00</w:t>
            </w:r>
            <w:r w:rsidRPr="0099093E">
              <w:t xml:space="preserve"> ha</w:t>
            </w:r>
            <w:r>
              <w:t>,</w:t>
            </w:r>
            <w:r w:rsidRPr="0099093E">
              <w:t xml:space="preserve"> 400279</w:t>
            </w:r>
            <w:r>
              <w:t xml:space="preserve"> pentru </w:t>
            </w:r>
            <w:r w:rsidRPr="0099093E">
              <w:t>2,92</w:t>
            </w:r>
            <w:r>
              <w:t>00</w:t>
            </w:r>
            <w:r w:rsidRPr="0099093E">
              <w:t xml:space="preserve"> ha</w:t>
            </w:r>
            <w:r>
              <w:t>,</w:t>
            </w:r>
            <w:r w:rsidRPr="0099093E">
              <w:t xml:space="preserve"> 400283</w:t>
            </w:r>
            <w:r>
              <w:t xml:space="preserve"> pentru </w:t>
            </w:r>
            <w:r w:rsidRPr="0099093E">
              <w:t>12,42</w:t>
            </w:r>
            <w:r>
              <w:t>00</w:t>
            </w:r>
            <w:r w:rsidRPr="0099093E">
              <w:t xml:space="preserve"> ha</w:t>
            </w:r>
            <w:r>
              <w:t>,</w:t>
            </w:r>
            <w:r w:rsidRPr="0099093E">
              <w:t xml:space="preserve"> 400243</w:t>
            </w:r>
            <w:r>
              <w:t xml:space="preserve"> pentru </w:t>
            </w:r>
            <w:r w:rsidRPr="0099093E">
              <w:t>0,465</w:t>
            </w:r>
            <w:r>
              <w:t>0</w:t>
            </w:r>
            <w:r w:rsidRPr="0099093E">
              <w:t xml:space="preserve"> ha</w:t>
            </w:r>
            <w:r>
              <w:t>,</w:t>
            </w:r>
            <w:r w:rsidRPr="0099093E">
              <w:t xml:space="preserve"> 400282</w:t>
            </w:r>
            <w:r>
              <w:t xml:space="preserve"> pentru </w:t>
            </w:r>
            <w:r w:rsidRPr="0099093E">
              <w:t>2,024</w:t>
            </w:r>
            <w:r>
              <w:t>0</w:t>
            </w:r>
            <w:r w:rsidRPr="0099093E">
              <w:t xml:space="preserve"> ha</w:t>
            </w:r>
            <w:r>
              <w:t>,</w:t>
            </w:r>
            <w:r w:rsidRPr="0099093E">
              <w:t xml:space="preserve"> 400235</w:t>
            </w:r>
            <w:r>
              <w:t xml:space="preserve"> pentru </w:t>
            </w:r>
            <w:r w:rsidRPr="0099093E">
              <w:t>0,179</w:t>
            </w:r>
            <w:r>
              <w:t>0</w:t>
            </w:r>
            <w:r w:rsidRPr="0099093E">
              <w:t xml:space="preserve"> ha</w:t>
            </w:r>
            <w:r>
              <w:t>,</w:t>
            </w:r>
            <w:r w:rsidRPr="0099093E">
              <w:t xml:space="preserve"> 400276</w:t>
            </w:r>
            <w:r>
              <w:t xml:space="preserve"> pentru </w:t>
            </w:r>
            <w:r w:rsidRPr="0099093E">
              <w:t>0,217</w:t>
            </w:r>
            <w:r>
              <w:t>0</w:t>
            </w:r>
            <w:r w:rsidRPr="0099093E">
              <w:t xml:space="preserve"> ha, 400255</w:t>
            </w:r>
            <w:r>
              <w:t xml:space="preserve"> pentru </w:t>
            </w:r>
            <w:r w:rsidRPr="0099093E">
              <w:t>5,708</w:t>
            </w:r>
            <w:r>
              <w:t>0</w:t>
            </w:r>
            <w:r w:rsidRPr="0099093E">
              <w:t xml:space="preserve"> ha, 400278</w:t>
            </w:r>
            <w:r>
              <w:t xml:space="preserve"> pentru </w:t>
            </w:r>
            <w:r w:rsidRPr="0099093E">
              <w:t>1,029</w:t>
            </w:r>
            <w:r>
              <w:t xml:space="preserve">0 </w:t>
            </w:r>
            <w:r w:rsidRPr="0099093E">
              <w:t>ha, 400252</w:t>
            </w:r>
            <w:r>
              <w:t xml:space="preserve"> pentru </w:t>
            </w:r>
            <w:r w:rsidRPr="0099093E">
              <w:t>1,023</w:t>
            </w:r>
            <w:r>
              <w:t>0</w:t>
            </w:r>
            <w:r w:rsidRPr="0099093E">
              <w:t xml:space="preserve"> ha, 400231</w:t>
            </w:r>
            <w:r>
              <w:t xml:space="preserve"> pentru </w:t>
            </w:r>
            <w:r w:rsidRPr="0099093E">
              <w:t>1,082</w:t>
            </w:r>
            <w:r>
              <w:t>0</w:t>
            </w:r>
            <w:r w:rsidRPr="0099093E">
              <w:t xml:space="preserve"> ha, 401197</w:t>
            </w:r>
            <w:r>
              <w:t xml:space="preserve"> pentru </w:t>
            </w:r>
            <w:r w:rsidRPr="0099093E">
              <w:t>1,3165 ha, 400256</w:t>
            </w:r>
            <w:r>
              <w:t xml:space="preserve"> pentru </w:t>
            </w:r>
            <w:r w:rsidRPr="0099093E">
              <w:t>2,19</w:t>
            </w:r>
            <w:r>
              <w:t>00</w:t>
            </w:r>
            <w:r w:rsidRPr="0099093E">
              <w:t xml:space="preserve"> ha, 400295</w:t>
            </w:r>
            <w:r>
              <w:t xml:space="preserve"> pentru </w:t>
            </w:r>
            <w:r w:rsidRPr="0099093E">
              <w:t>0,44</w:t>
            </w:r>
            <w:r>
              <w:t>00</w:t>
            </w:r>
            <w:r w:rsidRPr="0099093E">
              <w:t xml:space="preserve"> ha, 400236</w:t>
            </w:r>
            <w:r>
              <w:t xml:space="preserve"> pentru </w:t>
            </w:r>
            <w:r w:rsidRPr="0099093E">
              <w:t>7,213</w:t>
            </w:r>
            <w:r>
              <w:t>0</w:t>
            </w:r>
            <w:r w:rsidRPr="0099093E">
              <w:t xml:space="preserve"> ha, 400242</w:t>
            </w:r>
            <w:r>
              <w:t xml:space="preserve"> pentru </w:t>
            </w:r>
            <w:r w:rsidRPr="0099093E">
              <w:t>1,604</w:t>
            </w:r>
            <w:r>
              <w:t>0</w:t>
            </w:r>
            <w:r w:rsidRPr="0099093E">
              <w:t xml:space="preserve"> ha, 400277</w:t>
            </w:r>
            <w:r>
              <w:t xml:space="preserve"> pentru </w:t>
            </w:r>
            <w:r w:rsidRPr="0099093E">
              <w:t>0,084</w:t>
            </w:r>
            <w:r>
              <w:t>0</w:t>
            </w:r>
            <w:r w:rsidRPr="0099093E">
              <w:t xml:space="preserve"> ha, 400315</w:t>
            </w:r>
            <w:r>
              <w:t xml:space="preserve"> pentru </w:t>
            </w:r>
            <w:r w:rsidRPr="0099093E">
              <w:t>1,426</w:t>
            </w:r>
            <w:r>
              <w:t>0</w:t>
            </w:r>
            <w:r w:rsidRPr="0099093E">
              <w:t xml:space="preserve"> ha, 400297</w:t>
            </w:r>
            <w:r>
              <w:t xml:space="preserve"> pentru </w:t>
            </w:r>
            <w:r w:rsidRPr="0099093E">
              <w:t>0,22</w:t>
            </w:r>
            <w:r>
              <w:t>00</w:t>
            </w:r>
            <w:r w:rsidRPr="0099093E">
              <w:t xml:space="preserve"> ha, 400275</w:t>
            </w:r>
            <w:r>
              <w:t xml:space="preserve"> pentru </w:t>
            </w:r>
            <w:r w:rsidRPr="0099093E">
              <w:t>0,051</w:t>
            </w:r>
            <w:r>
              <w:t>0</w:t>
            </w:r>
            <w:r w:rsidRPr="0099093E">
              <w:t xml:space="preserve"> ha, 400254</w:t>
            </w:r>
            <w:r>
              <w:t xml:space="preserve"> pentru </w:t>
            </w:r>
            <w:r w:rsidRPr="0099093E">
              <w:t>0,391</w:t>
            </w:r>
            <w:r>
              <w:t>0</w:t>
            </w:r>
            <w:r w:rsidRPr="0099093E">
              <w:t xml:space="preserve"> ha, 400294</w:t>
            </w:r>
            <w:r>
              <w:t xml:space="preserve"> pentru </w:t>
            </w:r>
            <w:r w:rsidRPr="0099093E">
              <w:t>0,73</w:t>
            </w:r>
            <w:r>
              <w:t>00</w:t>
            </w:r>
            <w:r w:rsidRPr="0099093E">
              <w:t xml:space="preserve"> ha, 400230</w:t>
            </w:r>
            <w:r>
              <w:t xml:space="preserve"> pentru </w:t>
            </w:r>
            <w:r w:rsidRPr="0099093E">
              <w:t>1,121</w:t>
            </w:r>
            <w:r>
              <w:t>0</w:t>
            </w:r>
            <w:r w:rsidRPr="0099093E">
              <w:t xml:space="preserve"> ha, 400250</w:t>
            </w:r>
            <w:r>
              <w:t xml:space="preserve"> pentru </w:t>
            </w:r>
            <w:r w:rsidRPr="0099093E">
              <w:t>0,341</w:t>
            </w:r>
            <w:r>
              <w:t>0</w:t>
            </w:r>
            <w:r w:rsidRPr="0099093E">
              <w:t xml:space="preserve"> ha, 400237</w:t>
            </w:r>
            <w:r>
              <w:t xml:space="preserve"> pentru </w:t>
            </w:r>
            <w:r w:rsidRPr="0099093E">
              <w:t>0,531</w:t>
            </w:r>
            <w:r>
              <w:t>0</w:t>
            </w:r>
            <w:r w:rsidRPr="0099093E">
              <w:t xml:space="preserve"> ha, 400238</w:t>
            </w:r>
            <w:r>
              <w:t xml:space="preserve"> pentru </w:t>
            </w:r>
            <w:r w:rsidRPr="0099093E">
              <w:t>0,588</w:t>
            </w:r>
            <w:r>
              <w:t>0</w:t>
            </w:r>
            <w:r w:rsidRPr="0099093E">
              <w:t xml:space="preserve"> ha, 400249</w:t>
            </w:r>
            <w:r>
              <w:t xml:space="preserve"> pentru </w:t>
            </w:r>
            <w:r w:rsidRPr="0099093E">
              <w:t>2,145</w:t>
            </w:r>
            <w:r>
              <w:t>0</w:t>
            </w:r>
            <w:r w:rsidRPr="0099093E">
              <w:t xml:space="preserve"> ha</w:t>
            </w:r>
            <w:r w:rsidR="009D2C19">
              <w:t xml:space="preserve"> și</w:t>
            </w:r>
            <w:r w:rsidRPr="0099093E">
              <w:t xml:space="preserve"> 400229</w:t>
            </w:r>
            <w:r>
              <w:t xml:space="preserve"> pentru </w:t>
            </w:r>
            <w:r w:rsidRPr="0099093E">
              <w:t>0,128</w:t>
            </w:r>
            <w:r>
              <w:t>0</w:t>
            </w:r>
            <w:r w:rsidRPr="0099093E">
              <w:t xml:space="preserve"> ha</w:t>
            </w:r>
            <w:r>
              <w:t>.</w:t>
            </w:r>
          </w:p>
          <w:p w:rsidR="00F10E70" w:rsidRDefault="00F10E70" w:rsidP="00F55979">
            <w:pPr>
              <w:autoSpaceDE w:val="0"/>
              <w:autoSpaceDN w:val="0"/>
              <w:adjustRightInd w:val="0"/>
              <w:ind w:firstLine="721"/>
              <w:jc w:val="both"/>
            </w:pPr>
            <w:r>
              <w:t xml:space="preserve">2. Terenul din perimetrul Povergina, în suprafață de 45,3069 ha, </w:t>
            </w:r>
            <w:r w:rsidRPr="0099093E">
              <w:t>este limitrof fondului forestier O.S. Făget, U.P. III Povergina</w:t>
            </w:r>
            <w:r>
              <w:t>,</w:t>
            </w:r>
            <w:r w:rsidR="00084EDE">
              <w:t xml:space="preserve"> jud. Timiș,</w:t>
            </w:r>
            <w:r w:rsidRPr="00AF6F7C">
              <w:t xml:space="preserve"> </w:t>
            </w:r>
            <w:r>
              <w:t xml:space="preserve">este în situat </w:t>
            </w:r>
            <w:r w:rsidRPr="00AF6F7C">
              <w:t>extravila</w:t>
            </w:r>
            <w:r>
              <w:t>nul</w:t>
            </w:r>
            <w:r w:rsidRPr="00AF6F7C">
              <w:t xml:space="preserve"> </w:t>
            </w:r>
            <w:r w:rsidRPr="0099093E">
              <w:t xml:space="preserve">U.A.T. Făget, </w:t>
            </w:r>
            <w:r>
              <w:t>și se identifică cu următoarele numere cadastrale:</w:t>
            </w:r>
            <w:r w:rsidRPr="0099093E">
              <w:t xml:space="preserve"> 402243</w:t>
            </w:r>
            <w:r>
              <w:t xml:space="preserve"> pentru </w:t>
            </w:r>
            <w:r w:rsidRPr="0099093E">
              <w:t>0,8599 ha, 402297</w:t>
            </w:r>
            <w:r>
              <w:t xml:space="preserve"> pentru </w:t>
            </w:r>
            <w:r w:rsidRPr="0099093E">
              <w:t>0,2897 ha, 402503</w:t>
            </w:r>
            <w:r>
              <w:t xml:space="preserve"> pentru </w:t>
            </w:r>
            <w:r w:rsidRPr="0099093E">
              <w:t>1,16</w:t>
            </w:r>
            <w:r>
              <w:t>00</w:t>
            </w:r>
            <w:r w:rsidRPr="0099093E">
              <w:t xml:space="preserve"> ha, 402269</w:t>
            </w:r>
            <w:r>
              <w:t xml:space="preserve"> pentru </w:t>
            </w:r>
            <w:r w:rsidRPr="0099093E">
              <w:t>1,4792 ha, 402266</w:t>
            </w:r>
            <w:r>
              <w:t xml:space="preserve"> pentru </w:t>
            </w:r>
            <w:r w:rsidRPr="0099093E">
              <w:t>1,4387 ha, 403069</w:t>
            </w:r>
            <w:r>
              <w:t xml:space="preserve"> pentru </w:t>
            </w:r>
            <w:r w:rsidRPr="0099093E">
              <w:t>1,44</w:t>
            </w:r>
            <w:r>
              <w:t>00</w:t>
            </w:r>
            <w:r w:rsidRPr="0099093E">
              <w:t xml:space="preserve"> ha, 402241</w:t>
            </w:r>
            <w:r>
              <w:t xml:space="preserve"> pentru </w:t>
            </w:r>
            <w:r w:rsidRPr="0099093E">
              <w:t>0,2957 ha, 402350</w:t>
            </w:r>
            <w:r>
              <w:t xml:space="preserve"> pentru </w:t>
            </w:r>
            <w:r w:rsidRPr="0099093E">
              <w:t>0,2846 ha, 402257</w:t>
            </w:r>
            <w:r>
              <w:t xml:space="preserve"> pentru </w:t>
            </w:r>
            <w:r w:rsidRPr="0099093E">
              <w:t>1,4394 ha, 402396</w:t>
            </w:r>
            <w:r>
              <w:t xml:space="preserve"> pentru </w:t>
            </w:r>
            <w:r w:rsidRPr="0099093E">
              <w:t>1,4408 ha, 403762</w:t>
            </w:r>
            <w:r>
              <w:t xml:space="preserve"> pentru </w:t>
            </w:r>
            <w:r w:rsidRPr="0099093E">
              <w:t>1,43</w:t>
            </w:r>
            <w:r>
              <w:t>00</w:t>
            </w:r>
            <w:r w:rsidRPr="0099093E">
              <w:t xml:space="preserve"> ha, 402382</w:t>
            </w:r>
            <w:r>
              <w:t xml:space="preserve"> pentru </w:t>
            </w:r>
            <w:r w:rsidRPr="0099093E">
              <w:t>1,4396 ha, 402244</w:t>
            </w:r>
            <w:r>
              <w:t xml:space="preserve"> pentru </w:t>
            </w:r>
            <w:r w:rsidRPr="0099093E">
              <w:t>1,4406 ha, 401885</w:t>
            </w:r>
            <w:r>
              <w:t xml:space="preserve"> pentru </w:t>
            </w:r>
            <w:r w:rsidRPr="0099093E">
              <w:t>1,4386 ha, 402094</w:t>
            </w:r>
            <w:r>
              <w:t xml:space="preserve"> pentru </w:t>
            </w:r>
            <w:r w:rsidRPr="0099093E">
              <w:t>1,4386 ha, 401889</w:t>
            </w:r>
            <w:r>
              <w:t xml:space="preserve"> pentru </w:t>
            </w:r>
            <w:r w:rsidRPr="0099093E">
              <w:t>0,5755 ha, 401892</w:t>
            </w:r>
            <w:r>
              <w:t xml:space="preserve"> pentru </w:t>
            </w:r>
            <w:r w:rsidRPr="0099093E">
              <w:t>0,7193 ha, 402490</w:t>
            </w:r>
            <w:r>
              <w:t xml:space="preserve"> pentru </w:t>
            </w:r>
            <w:r w:rsidRPr="0099093E">
              <w:t>0,7193 ha, 402489</w:t>
            </w:r>
            <w:r>
              <w:t xml:space="preserve"> pentru </w:t>
            </w:r>
            <w:r w:rsidRPr="0099093E">
              <w:t>1,4386 ha, 402387</w:t>
            </w:r>
            <w:r>
              <w:t xml:space="preserve"> pentru </w:t>
            </w:r>
            <w:r w:rsidRPr="0099093E">
              <w:t>1,439</w:t>
            </w:r>
            <w:r>
              <w:t xml:space="preserve">0 </w:t>
            </w:r>
            <w:r w:rsidRPr="0099093E">
              <w:t>ha, 402389</w:t>
            </w:r>
            <w:r>
              <w:t xml:space="preserve"> pentru </w:t>
            </w:r>
            <w:r w:rsidRPr="0099093E">
              <w:t>1,4411 ha, 402255</w:t>
            </w:r>
            <w:r>
              <w:t xml:space="preserve"> pentru </w:t>
            </w:r>
            <w:r w:rsidRPr="0099093E">
              <w:t>1,1593 ha, 402279</w:t>
            </w:r>
            <w:r>
              <w:t xml:space="preserve"> pentru </w:t>
            </w:r>
            <w:r w:rsidRPr="0099093E">
              <w:t>1,4402 ha, 402250</w:t>
            </w:r>
            <w:r>
              <w:t xml:space="preserve"> pentru </w:t>
            </w:r>
            <w:r w:rsidRPr="0099093E">
              <w:t>1,1581 ha, 403082</w:t>
            </w:r>
            <w:r>
              <w:t xml:space="preserve"> pentru </w:t>
            </w:r>
            <w:r w:rsidRPr="0099093E">
              <w:t>0,57</w:t>
            </w:r>
            <w:r>
              <w:t>00</w:t>
            </w:r>
            <w:r w:rsidRPr="0099093E">
              <w:t xml:space="preserve"> ha, 402240</w:t>
            </w:r>
            <w:r>
              <w:t xml:space="preserve"> pentru </w:t>
            </w:r>
            <w:r w:rsidRPr="0099093E">
              <w:t>1,1563 ha, 402277</w:t>
            </w:r>
            <w:r>
              <w:t xml:space="preserve"> pentru </w:t>
            </w:r>
            <w:r w:rsidRPr="0099093E">
              <w:lastRenderedPageBreak/>
              <w:t>1,4385 ha, 401888</w:t>
            </w:r>
            <w:r>
              <w:t xml:space="preserve"> pentru </w:t>
            </w:r>
            <w:r w:rsidRPr="0099093E">
              <w:t>1,4386 ha, 403657</w:t>
            </w:r>
            <w:r>
              <w:t xml:space="preserve"> pentru </w:t>
            </w:r>
            <w:r w:rsidRPr="0099093E">
              <w:t>1,1505 ha, 402253</w:t>
            </w:r>
            <w:r>
              <w:t xml:space="preserve"> pentru </w:t>
            </w:r>
            <w:r w:rsidRPr="0099093E">
              <w:t>1,4403 ha, 402281</w:t>
            </w:r>
            <w:r>
              <w:t xml:space="preserve"> pentru </w:t>
            </w:r>
            <w:r w:rsidRPr="0099093E">
              <w:t>0,5799 ha, 402248</w:t>
            </w:r>
            <w:r>
              <w:t xml:space="preserve"> pentru </w:t>
            </w:r>
            <w:r w:rsidRPr="0099093E">
              <w:t>1,4396 ha, 402363</w:t>
            </w:r>
            <w:r>
              <w:t xml:space="preserve"> pentru </w:t>
            </w:r>
            <w:r w:rsidRPr="0099093E">
              <w:t>0,8699 ha, 402270</w:t>
            </w:r>
            <w:r>
              <w:t xml:space="preserve"> pentru </w:t>
            </w:r>
            <w:r w:rsidRPr="0099093E">
              <w:t>0,8693 ha, 402245</w:t>
            </w:r>
            <w:r>
              <w:t xml:space="preserve"> pentru </w:t>
            </w:r>
            <w:r w:rsidRPr="0099093E">
              <w:t>0,5795 ha, 402383</w:t>
            </w:r>
            <w:r>
              <w:t xml:space="preserve"> pentru </w:t>
            </w:r>
            <w:r w:rsidRPr="0099093E">
              <w:t>0,8703 ha, 403629</w:t>
            </w:r>
            <w:r>
              <w:t xml:space="preserve"> pentru </w:t>
            </w:r>
            <w:r w:rsidRPr="0099093E">
              <w:t>0,8696 ha, 402264</w:t>
            </w:r>
            <w:r>
              <w:t xml:space="preserve"> pentru </w:t>
            </w:r>
            <w:r w:rsidRPr="0099093E">
              <w:t>0,8695 ha, 402265</w:t>
            </w:r>
            <w:r>
              <w:t xml:space="preserve"> pentru </w:t>
            </w:r>
            <w:r w:rsidRPr="0099093E">
              <w:t>0,5793 ha, 402258</w:t>
            </w:r>
            <w:r>
              <w:t xml:space="preserve"> pentru </w:t>
            </w:r>
            <w:r w:rsidRPr="0099093E">
              <w:t>0,8593 ha, 402352</w:t>
            </w:r>
            <w:r>
              <w:t xml:space="preserve"> pentru </w:t>
            </w:r>
            <w:r w:rsidRPr="0099093E">
              <w:t>0,5802 ha, 402351</w:t>
            </w:r>
            <w:r>
              <w:t xml:space="preserve"> pentru </w:t>
            </w:r>
            <w:r w:rsidRPr="0099093E">
              <w:t>0,2901 ha, 403070</w:t>
            </w:r>
            <w:r>
              <w:t xml:space="preserve"> pentru </w:t>
            </w:r>
            <w:r w:rsidRPr="0099093E">
              <w:t>0,87</w:t>
            </w:r>
            <w:r>
              <w:t>00</w:t>
            </w:r>
            <w:r w:rsidRPr="0099093E">
              <w:t xml:space="preserve"> ha</w:t>
            </w:r>
            <w:r w:rsidR="009D2C19">
              <w:t xml:space="preserve"> și</w:t>
            </w:r>
            <w:r w:rsidRPr="0099093E">
              <w:t xml:space="preserve"> 402341</w:t>
            </w:r>
            <w:r>
              <w:t xml:space="preserve"> pentru </w:t>
            </w:r>
            <w:r w:rsidRPr="0099093E">
              <w:t>0,5804 ha</w:t>
            </w:r>
            <w:r>
              <w:t>.</w:t>
            </w:r>
          </w:p>
          <w:p w:rsidR="00F10E70" w:rsidRDefault="00F10E70" w:rsidP="00F55979">
            <w:pPr>
              <w:autoSpaceDE w:val="0"/>
              <w:autoSpaceDN w:val="0"/>
              <w:adjustRightInd w:val="0"/>
              <w:ind w:firstLine="721"/>
              <w:jc w:val="both"/>
            </w:pPr>
            <w:r>
              <w:t xml:space="preserve">3. Terenul din perimetrul Secaș, în suprafață de </w:t>
            </w:r>
            <w:r w:rsidR="00890A66">
              <w:t>3</w:t>
            </w:r>
            <w:r>
              <w:t>5,</w:t>
            </w:r>
            <w:r w:rsidR="00890A66">
              <w:t>2497</w:t>
            </w:r>
            <w:r>
              <w:t xml:space="preserve"> ha, </w:t>
            </w:r>
            <w:r w:rsidRPr="0099093E">
              <w:t xml:space="preserve">este limitrof fondului forestier </w:t>
            </w:r>
            <w:r w:rsidRPr="007E1B3B">
              <w:t>O.S. Timișoara, U.P. X Paniova</w:t>
            </w:r>
            <w:r>
              <w:t xml:space="preserve">, este situat în </w:t>
            </w:r>
            <w:r w:rsidRPr="00AF6F7C">
              <w:t>extravila</w:t>
            </w:r>
            <w:r>
              <w:t>nul</w:t>
            </w:r>
            <w:r w:rsidRPr="00AF6F7C">
              <w:t xml:space="preserve"> </w:t>
            </w:r>
            <w:r w:rsidRPr="0099093E">
              <w:t xml:space="preserve">U.A.T. </w:t>
            </w:r>
            <w:r w:rsidR="00890A66">
              <w:t>Secaș</w:t>
            </w:r>
            <w:r w:rsidR="00084EDE">
              <w:t>, jud. Timiș</w:t>
            </w:r>
            <w:r w:rsidRPr="0099093E">
              <w:t xml:space="preserve"> </w:t>
            </w:r>
            <w:r>
              <w:t>și se identifică cu următoarele numere cadastrale:</w:t>
            </w:r>
            <w:r w:rsidRPr="007E1B3B">
              <w:t xml:space="preserve"> 400413</w:t>
            </w:r>
            <w:r>
              <w:t xml:space="preserve"> pentru </w:t>
            </w:r>
            <w:r w:rsidRPr="007E1B3B">
              <w:t>17,3184 ha, 400414</w:t>
            </w:r>
            <w:r>
              <w:t xml:space="preserve"> pentru </w:t>
            </w:r>
            <w:r w:rsidRPr="007E1B3B">
              <w:t>1,5023 ha, 400415</w:t>
            </w:r>
            <w:r>
              <w:t xml:space="preserve"> pentru </w:t>
            </w:r>
            <w:r w:rsidRPr="007E1B3B">
              <w:t>0,3399 ha, 400416</w:t>
            </w:r>
            <w:r>
              <w:t xml:space="preserve"> pentru </w:t>
            </w:r>
            <w:r w:rsidRPr="007E1B3B">
              <w:t>14,1514 ha, 400417</w:t>
            </w:r>
            <w:r>
              <w:t xml:space="preserve"> pentru </w:t>
            </w:r>
            <w:r w:rsidRPr="007E1B3B">
              <w:t>1,4377 ha</w:t>
            </w:r>
            <w:r>
              <w:t xml:space="preserve"> și</w:t>
            </w:r>
            <w:r w:rsidRPr="007E1B3B">
              <w:t xml:space="preserve"> 400418</w:t>
            </w:r>
            <w:r>
              <w:t xml:space="preserve"> pentru </w:t>
            </w:r>
            <w:r w:rsidRPr="007E1B3B">
              <w:t>0,5</w:t>
            </w:r>
            <w:r>
              <w:t>000</w:t>
            </w:r>
            <w:r w:rsidRPr="007E1B3B">
              <w:t xml:space="preserve"> ha</w:t>
            </w:r>
            <w:r>
              <w:t>.</w:t>
            </w:r>
          </w:p>
          <w:p w:rsidR="0048017D" w:rsidRDefault="0048017D" w:rsidP="0048017D">
            <w:pPr>
              <w:pStyle w:val="BodyText3"/>
              <w:ind w:firstLine="720"/>
              <w:jc w:val="both"/>
              <w:rPr>
                <w:sz w:val="24"/>
                <w:szCs w:val="24"/>
              </w:rPr>
            </w:pPr>
          </w:p>
          <w:p w:rsidR="0048017D" w:rsidRDefault="0048017D" w:rsidP="00F55979">
            <w:pPr>
              <w:autoSpaceDE w:val="0"/>
              <w:autoSpaceDN w:val="0"/>
              <w:adjustRightInd w:val="0"/>
              <w:ind w:firstLine="721"/>
              <w:jc w:val="both"/>
            </w:pPr>
            <w:r w:rsidRPr="000108CB">
              <w:t xml:space="preserve">Predarea terenurilor </w:t>
            </w:r>
            <w:r>
              <w:t>care se scot din fondul forestier precum și</w:t>
            </w:r>
            <w:r w:rsidR="00DA09BC">
              <w:t xml:space="preserve"> a</w:t>
            </w:r>
            <w:r>
              <w:t xml:space="preserve"> terenuril</w:t>
            </w:r>
            <w:r w:rsidR="00DA09BC">
              <w:t>or</w:t>
            </w:r>
            <w:r>
              <w:t xml:space="preserve"> oferite în compensare</w:t>
            </w:r>
            <w:r w:rsidRPr="000108CB">
              <w:t xml:space="preserve"> se va face pe bază de proces verbal de predare-primire</w:t>
            </w:r>
            <w:r>
              <w:t xml:space="preserve"> în prezența reprezentanților Gărzii Forestiere Timișoara după achitarea obligațiilor bănești prevăzute de legislația în vigoare</w:t>
            </w:r>
            <w:r w:rsidR="00130122">
              <w:t>.</w:t>
            </w:r>
            <w:r w:rsidRPr="000108CB">
              <w:t xml:space="preserve"> </w:t>
            </w:r>
            <w:r w:rsidR="00130122">
              <w:t>Prevederi în acest sens se regăsesc la a</w:t>
            </w:r>
            <w:r>
              <w:t>rt.31</w:t>
            </w:r>
            <w:r w:rsidR="00402DBD">
              <w:t xml:space="preserve"> </w:t>
            </w:r>
            <w:r w:rsidR="00130122">
              <w:t>și</w:t>
            </w:r>
            <w:r>
              <w:t xml:space="preserve"> art. 47 din Metodologia aprobată cu OM </w:t>
            </w:r>
            <w:r w:rsidR="00FB1D13">
              <w:t>nr.</w:t>
            </w:r>
            <w:r>
              <w:t>694/2016</w:t>
            </w:r>
            <w:r w:rsidR="00FB1D13">
              <w:t>, cu modificările și completările ulterioare</w:t>
            </w:r>
            <w:r w:rsidR="00130122">
              <w:t>.</w:t>
            </w:r>
          </w:p>
          <w:p w:rsidR="00130122" w:rsidRDefault="00130122" w:rsidP="00F55979">
            <w:pPr>
              <w:autoSpaceDE w:val="0"/>
              <w:autoSpaceDN w:val="0"/>
              <w:adjustRightInd w:val="0"/>
              <w:ind w:firstLine="721"/>
              <w:jc w:val="both"/>
            </w:pPr>
            <w:r w:rsidRPr="000108CB">
              <w:t xml:space="preserve">S.C. Deva Gold S.A. </w:t>
            </w:r>
            <w:r w:rsidRPr="00DE3154">
              <w:t>va opera modificările la cartea funciară intervenite ca urmare a schimbării destinaţiei</w:t>
            </w:r>
            <w:r>
              <w:t xml:space="preserve"> </w:t>
            </w:r>
            <w:r w:rsidRPr="00DE3154">
              <w:t xml:space="preserve">terenurilor forestiere </w:t>
            </w:r>
            <w:r>
              <w:t xml:space="preserve">care se scot definitiv din fondul forestier național și a terenurilor care intră în fondul forestier național în compensare, </w:t>
            </w:r>
            <w:r w:rsidRPr="00DE3154">
              <w:t>în baza prezentei hotărâri şi a procesului-verbal încheiat, în condiţiile legii, potrivit prevederilor art. 37 alin. (9) din Legea nr. 46/2008 - Codul silvic.</w:t>
            </w:r>
          </w:p>
          <w:p w:rsidR="00130122" w:rsidRDefault="00130122" w:rsidP="00F55979">
            <w:pPr>
              <w:autoSpaceDE w:val="0"/>
              <w:autoSpaceDN w:val="0"/>
              <w:adjustRightInd w:val="0"/>
              <w:ind w:firstLine="721"/>
              <w:jc w:val="both"/>
            </w:pPr>
            <w:r w:rsidRPr="009D42D5">
              <w:t>Este</w:t>
            </w:r>
            <w:r w:rsidRPr="00007C72">
              <w:t xml:space="preserve"> interzisă schimbarea destinaţiei obiectivului </w:t>
            </w:r>
            <w:r w:rsidRPr="007D78D4">
              <w:t>„</w:t>
            </w:r>
            <w:r w:rsidRPr="00AC6750">
              <w:t>Exploatarea minereurilor auro-argintifere din Perimetrul Certej</w:t>
            </w:r>
            <w:r w:rsidRPr="00D14C23">
              <w:t>”</w:t>
            </w:r>
            <w:r w:rsidRPr="007D78D4">
              <w:t xml:space="preserve"> m</w:t>
            </w:r>
            <w:r>
              <w:t>ai devreme de 5 ani</w:t>
            </w:r>
            <w:r w:rsidRPr="00007C72">
              <w:t xml:space="preserve"> de la data </w:t>
            </w:r>
            <w:r>
              <w:t xml:space="preserve">intrării în vigoare a </w:t>
            </w:r>
            <w:r w:rsidR="00FB1D13">
              <w:t>prezentei</w:t>
            </w:r>
            <w:r w:rsidRPr="00007C72">
              <w:t xml:space="preserve"> </w:t>
            </w:r>
            <w:r w:rsidR="00FB1D13">
              <w:t>hotărâri</w:t>
            </w:r>
            <w:r w:rsidRPr="00007C72">
              <w:t>, conform art. 38 alin</w:t>
            </w:r>
            <w:r>
              <w:t>.</w:t>
            </w:r>
            <w:r w:rsidRPr="00007C72">
              <w:t xml:space="preserve"> (3) din Legea nr. 46/2008 - Codul silvic, </w:t>
            </w:r>
            <w:r>
              <w:t xml:space="preserve">republicat, </w:t>
            </w:r>
            <w:r w:rsidRPr="00007C72">
              <w:t>cu modificările şi completările ulterioare.</w:t>
            </w:r>
          </w:p>
          <w:p w:rsidR="00130122" w:rsidRPr="00130122" w:rsidRDefault="00130122" w:rsidP="00F55979">
            <w:pPr>
              <w:autoSpaceDE w:val="0"/>
              <w:autoSpaceDN w:val="0"/>
              <w:adjustRightInd w:val="0"/>
              <w:ind w:firstLine="721"/>
              <w:jc w:val="both"/>
            </w:pPr>
            <w:r w:rsidRPr="00130122">
              <w:t>S.C. Deva Gold S.A. a achitat, în Fondul de ameliorare a fondului funciar cu destinaţie silvică aflat în administrare la Ministerul Apelor şi Pădurilor, taxa pentru scoaterea definitivă de terenuri din fondul forestier naţional în valoare de 6491378,20 lei cu ordinul de plată nr. 980/23.07.2018 emis de către Banca Comercială Română.</w:t>
            </w:r>
          </w:p>
          <w:p w:rsidR="00AB4CF8" w:rsidRPr="00D91BDF" w:rsidRDefault="00AB4CF8" w:rsidP="00A07E40">
            <w:pPr>
              <w:ind w:firstLine="361"/>
              <w:jc w:val="both"/>
            </w:pPr>
          </w:p>
        </w:tc>
      </w:tr>
      <w:tr w:rsidR="00AB4CF8" w:rsidRPr="00E81280" w:rsidTr="00A07E40">
        <w:trPr>
          <w:trHeight w:val="503"/>
        </w:trPr>
        <w:tc>
          <w:tcPr>
            <w:tcW w:w="2683" w:type="dxa"/>
            <w:gridSpan w:val="2"/>
          </w:tcPr>
          <w:p w:rsidR="00AB4CF8" w:rsidRPr="00A431BA" w:rsidRDefault="00AB4CF8" w:rsidP="00A07E40">
            <w:r w:rsidRPr="00A431BA">
              <w:lastRenderedPageBreak/>
              <w:t>1</w:t>
            </w:r>
            <w:r w:rsidRPr="00A431BA">
              <w:rPr>
                <w:vertAlign w:val="superscript"/>
              </w:rPr>
              <w:t>1</w:t>
            </w:r>
            <w:r w:rsidRPr="00A431BA">
              <w:t xml:space="preserve"> În cazul proiectelor de acte normative care transpun legislaţie comunitară sau creează cadrul pentru aplicarea directă a acesteia</w:t>
            </w:r>
            <w:r>
              <w:t>.</w:t>
            </w:r>
          </w:p>
        </w:tc>
        <w:tc>
          <w:tcPr>
            <w:tcW w:w="7877" w:type="dxa"/>
            <w:gridSpan w:val="9"/>
          </w:tcPr>
          <w:p w:rsidR="00AB4CF8" w:rsidRPr="00E81280" w:rsidRDefault="00AB4CF8" w:rsidP="00A07E40">
            <w:pPr>
              <w:jc w:val="both"/>
            </w:pPr>
            <w:r>
              <w:t xml:space="preserve">        </w:t>
            </w:r>
            <w:r w:rsidRPr="00AB6476">
              <w:t>Proiectul de act normativ nu se referă la acest subiect.</w:t>
            </w:r>
          </w:p>
          <w:p w:rsidR="00AB4CF8" w:rsidRPr="00E81280" w:rsidRDefault="00AB4CF8" w:rsidP="00A07E40">
            <w:pPr>
              <w:jc w:val="both"/>
            </w:pPr>
          </w:p>
        </w:tc>
      </w:tr>
      <w:tr w:rsidR="00AB4CF8" w:rsidRPr="00E81280" w:rsidTr="00A07E40">
        <w:tc>
          <w:tcPr>
            <w:tcW w:w="2683" w:type="dxa"/>
            <w:gridSpan w:val="2"/>
          </w:tcPr>
          <w:p w:rsidR="00AB4CF8" w:rsidRPr="00E81280" w:rsidRDefault="00AB4CF8" w:rsidP="00A07E40">
            <w:r w:rsidRPr="00E81280">
              <w:t>2. Schimbări preconizate</w:t>
            </w:r>
          </w:p>
        </w:tc>
        <w:tc>
          <w:tcPr>
            <w:tcW w:w="7877" w:type="dxa"/>
            <w:gridSpan w:val="9"/>
          </w:tcPr>
          <w:p w:rsidR="00AB4CF8" w:rsidRPr="00DC1480" w:rsidRDefault="00AB4CF8" w:rsidP="008265F5">
            <w:pPr>
              <w:ind w:firstLine="541"/>
              <w:jc w:val="both"/>
            </w:pPr>
            <w:r w:rsidRPr="00DC1480">
              <w:t xml:space="preserve">Promovarea prezentului proiect de act normativ are drept scop </w:t>
            </w:r>
            <w:r w:rsidRPr="0015786B">
              <w:t xml:space="preserve">aprobarea </w:t>
            </w:r>
            <w:r w:rsidR="008265F5" w:rsidRPr="008265F5">
              <w:t>scoaterii definitive din fondul forestier naţional a terenului în suprafaţă de 56,1579 ha de către S.C. Deva Gold S.A., în vederea realizării obiectivului „Exploatarea minereurilor auro-argintifere din Perimetrul Certej”</w:t>
            </w:r>
            <w:r w:rsidR="008265F5">
              <w:t>.</w:t>
            </w:r>
          </w:p>
          <w:p w:rsidR="00AB4CF8" w:rsidRDefault="008265F5" w:rsidP="008265F5">
            <w:pPr>
              <w:ind w:firstLine="541"/>
              <w:jc w:val="both"/>
            </w:pPr>
            <w:r w:rsidRPr="00B82F9A">
              <w:t>Defrișarea vegetației forestiere se va realiza pe suprafața de 53,3863 ha</w:t>
            </w:r>
            <w:r>
              <w:t>.</w:t>
            </w:r>
          </w:p>
          <w:p w:rsidR="00AB4CF8" w:rsidRDefault="008265F5" w:rsidP="008265F5">
            <w:pPr>
              <w:ind w:firstLine="541"/>
              <w:jc w:val="both"/>
            </w:pPr>
            <w:r>
              <w:t>Scoaterea definitivă din fondul forestier național se face cu compensare echivalentă cu terenuri în suprafață de 168,6241 ha, proprietate a S.C. Deva Gold S.A., amplasate în perimetrul Pogănești cu suprafața de 88,0675 ha, în perimetrul Povergina cu suprafața de 45,3069 ha și în perimetrul Secaș cu suprafața de 35,2497 ha.</w:t>
            </w:r>
          </w:p>
          <w:p w:rsidR="00AB4CF8" w:rsidRDefault="00AB4CF8" w:rsidP="008265F5">
            <w:pPr>
              <w:tabs>
                <w:tab w:val="left" w:pos="406"/>
              </w:tabs>
              <w:ind w:firstLine="541"/>
              <w:jc w:val="both"/>
            </w:pPr>
            <w:r w:rsidRPr="00F2260A">
              <w:t xml:space="preserve">Predarea terenului </w:t>
            </w:r>
            <w:r>
              <w:t>forestier</w:t>
            </w:r>
            <w:r w:rsidRPr="00F2260A">
              <w:t xml:space="preserve"> se va face </w:t>
            </w:r>
            <w:r>
              <w:t xml:space="preserve">numai </w:t>
            </w:r>
            <w:r w:rsidRPr="00F2260A">
              <w:t>în pr</w:t>
            </w:r>
            <w:r>
              <w:t xml:space="preserve">ezenţa reprezentantului Gărzii Timișoara, potrivit prevederilor art. 41 alin. (3) </w:t>
            </w:r>
            <w:r w:rsidRPr="00F2260A">
              <w:t>din Legea nr. 46/2008</w:t>
            </w:r>
            <w:r>
              <w:t xml:space="preserve"> -</w:t>
            </w:r>
            <w:r w:rsidRPr="005B4264">
              <w:t xml:space="preserve"> </w:t>
            </w:r>
            <w:r w:rsidRPr="00F2260A">
              <w:t>Codul silvic, republicată, cu modificările şi completările ulterioare</w:t>
            </w:r>
            <w:r>
              <w:t>.</w:t>
            </w:r>
          </w:p>
          <w:p w:rsidR="008265F5" w:rsidRDefault="008265F5" w:rsidP="00B217A6">
            <w:pPr>
              <w:ind w:firstLine="541"/>
              <w:jc w:val="both"/>
            </w:pPr>
            <w:r w:rsidRPr="000108CB">
              <w:t xml:space="preserve">S.C. Deva Gold S.A. </w:t>
            </w:r>
            <w:r w:rsidRPr="00DE3154">
              <w:t>va opera modificările la cartea funciară intervenite ca urmare a schimbării destinaţiei</w:t>
            </w:r>
            <w:r>
              <w:t xml:space="preserve"> </w:t>
            </w:r>
            <w:r w:rsidRPr="00DE3154">
              <w:t xml:space="preserve">terenurilor forestiere </w:t>
            </w:r>
            <w:r>
              <w:t xml:space="preserve">care se scot definitiv din </w:t>
            </w:r>
            <w:r>
              <w:lastRenderedPageBreak/>
              <w:t xml:space="preserve">fondul forestier național și a terenurilor care intră în fondul forestier național în compensare, </w:t>
            </w:r>
            <w:r w:rsidRPr="00DE3154">
              <w:t>în baza prezentei hotărâri şi a procesului-verbal încheiat, în condiţiile legii, potrivit prevederilor art. 37 alin. (9) din Legea nr. 46/2008 - Codul silvic.</w:t>
            </w:r>
          </w:p>
          <w:p w:rsidR="00AB4CF8" w:rsidRPr="00AA43FB" w:rsidRDefault="00AB4CF8" w:rsidP="00B217A6">
            <w:pPr>
              <w:ind w:firstLine="541"/>
              <w:jc w:val="both"/>
            </w:pPr>
            <w:r w:rsidRPr="00AA43FB">
              <w:t>Masa lemnoasă de pe terenul forestier scos defintiv din fondul forestier național se va precompta şi se va exploata conform prevederilor legale în vigoare.</w:t>
            </w:r>
          </w:p>
        </w:tc>
      </w:tr>
      <w:tr w:rsidR="00AB4CF8" w:rsidRPr="00E81280" w:rsidTr="00A07E40">
        <w:tc>
          <w:tcPr>
            <w:tcW w:w="2683" w:type="dxa"/>
            <w:gridSpan w:val="2"/>
          </w:tcPr>
          <w:p w:rsidR="00AB4CF8" w:rsidRPr="00E81280" w:rsidRDefault="00AB4CF8" w:rsidP="00A07E40">
            <w:r w:rsidRPr="00E81280">
              <w:lastRenderedPageBreak/>
              <w:t>3. Alte informaţii</w:t>
            </w:r>
          </w:p>
        </w:tc>
        <w:tc>
          <w:tcPr>
            <w:tcW w:w="7877" w:type="dxa"/>
            <w:gridSpan w:val="9"/>
          </w:tcPr>
          <w:p w:rsidR="00AB4CF8" w:rsidRPr="00CA4DEE" w:rsidRDefault="00AB4CF8" w:rsidP="00A07E40">
            <w:pPr>
              <w:ind w:firstLine="503"/>
              <w:jc w:val="both"/>
            </w:pPr>
            <w:r>
              <w:t xml:space="preserve"> </w:t>
            </w:r>
            <w:r w:rsidRPr="00CA4DEE">
              <w:t>Bunurile prevăzute de prezentul proiect de act normativ nu fac obiectul unor cereri de reconstituire a dreptului de proprietate privată sau de restituire, depuse în temeiul actelor normative cu caracter special privind fondul funciar, respectiv cele care reglementează regimul juridic al imobilelor preluate abuziv de statul român în perioada 6 martie 1945 – 22 decembrie 1989, nu sunt grevate de sarcini şi nu formează obiectul unor litigii.</w:t>
            </w:r>
          </w:p>
        </w:tc>
      </w:tr>
      <w:tr w:rsidR="00AB4CF8" w:rsidRPr="00E81280" w:rsidTr="00A07E40">
        <w:trPr>
          <w:trHeight w:val="493"/>
        </w:trPr>
        <w:tc>
          <w:tcPr>
            <w:tcW w:w="10560" w:type="dxa"/>
            <w:gridSpan w:val="11"/>
          </w:tcPr>
          <w:p w:rsidR="00AB4CF8" w:rsidRPr="00E81280" w:rsidRDefault="00AB4CF8" w:rsidP="00A07E40">
            <w:pPr>
              <w:jc w:val="center"/>
              <w:rPr>
                <w:b/>
              </w:rPr>
            </w:pPr>
            <w:r w:rsidRPr="00E81280">
              <w:rPr>
                <w:b/>
              </w:rPr>
              <w:t>Secţiunea a 3-a: Impactul socio-economic al proiectului de act normativ</w:t>
            </w:r>
          </w:p>
        </w:tc>
      </w:tr>
      <w:tr w:rsidR="00AB4CF8" w:rsidRPr="00E81280" w:rsidTr="00A07E40">
        <w:tc>
          <w:tcPr>
            <w:tcW w:w="2670" w:type="dxa"/>
          </w:tcPr>
          <w:p w:rsidR="00AB4CF8" w:rsidRPr="00E81280" w:rsidRDefault="00AB4CF8" w:rsidP="00A07E40">
            <w:r w:rsidRPr="00E81280">
              <w:t>1. Impactul macroeconomic</w:t>
            </w:r>
          </w:p>
        </w:tc>
        <w:tc>
          <w:tcPr>
            <w:tcW w:w="7890" w:type="dxa"/>
            <w:gridSpan w:val="10"/>
          </w:tcPr>
          <w:p w:rsidR="00AB4CF8" w:rsidRPr="00E81280" w:rsidRDefault="00AB4CF8" w:rsidP="00A07E40">
            <w:pPr>
              <w:jc w:val="both"/>
            </w:pPr>
            <w:r>
              <w:t xml:space="preserve">    </w:t>
            </w:r>
            <w:r w:rsidRPr="00E81280">
              <w:t xml:space="preserve">Proiectul de act normativ nu are impact la nivel macroeconomic. </w:t>
            </w:r>
          </w:p>
        </w:tc>
      </w:tr>
      <w:tr w:rsidR="00AB4CF8" w:rsidRPr="00E81280" w:rsidTr="00A07E40">
        <w:trPr>
          <w:trHeight w:val="1152"/>
        </w:trPr>
        <w:tc>
          <w:tcPr>
            <w:tcW w:w="2670" w:type="dxa"/>
          </w:tcPr>
          <w:p w:rsidR="00AB4CF8" w:rsidRPr="00E81280" w:rsidRDefault="00AB4CF8" w:rsidP="00A07E40">
            <w:r w:rsidRPr="00E81280">
              <w:t>1</w:t>
            </w:r>
            <w:r w:rsidRPr="00E81280">
              <w:rPr>
                <w:vertAlign w:val="superscript"/>
              </w:rPr>
              <w:t>1</w:t>
            </w:r>
            <w:r>
              <w:t>.</w:t>
            </w:r>
            <w:r w:rsidRPr="00E81280">
              <w:t xml:space="preserve">Impactul asupra </w:t>
            </w:r>
            <w:r>
              <w:t xml:space="preserve">mediului </w:t>
            </w:r>
            <w:r w:rsidRPr="00E81280">
              <w:t>concurenţial şi domeniului ajutoarelor de stat</w:t>
            </w:r>
          </w:p>
        </w:tc>
        <w:tc>
          <w:tcPr>
            <w:tcW w:w="7890" w:type="dxa"/>
            <w:gridSpan w:val="10"/>
          </w:tcPr>
          <w:p w:rsidR="00AB4CF8" w:rsidRPr="00E81280" w:rsidRDefault="00AB4CF8" w:rsidP="00A07E40">
            <w:pPr>
              <w:jc w:val="both"/>
            </w:pPr>
            <w:r>
              <w:t xml:space="preserve">    </w:t>
            </w:r>
            <w:r w:rsidRPr="00AB6476">
              <w:t>Proiectul de act normativ nu se referă la acest subiect.</w:t>
            </w:r>
          </w:p>
        </w:tc>
      </w:tr>
      <w:tr w:rsidR="00AB4CF8" w:rsidRPr="00E81280" w:rsidTr="00A07E40">
        <w:trPr>
          <w:trHeight w:val="1152"/>
        </w:trPr>
        <w:tc>
          <w:tcPr>
            <w:tcW w:w="2670" w:type="dxa"/>
          </w:tcPr>
          <w:p w:rsidR="00AB4CF8" w:rsidRPr="00E81280" w:rsidRDefault="00AB4CF8" w:rsidP="00A07E40">
            <w:r w:rsidRPr="00E81280">
              <w:t>2. Impactul asupra mediului de afaceri</w:t>
            </w:r>
          </w:p>
          <w:p w:rsidR="00AB4CF8" w:rsidRPr="00E81280" w:rsidRDefault="00AB4CF8" w:rsidP="00A07E40"/>
        </w:tc>
        <w:tc>
          <w:tcPr>
            <w:tcW w:w="7890" w:type="dxa"/>
            <w:gridSpan w:val="10"/>
          </w:tcPr>
          <w:p w:rsidR="00AB4CF8" w:rsidRDefault="00AB4CF8" w:rsidP="00A07E40">
            <w:pPr>
              <w:jc w:val="both"/>
            </w:pPr>
            <w:r>
              <w:t xml:space="preserve">     </w:t>
            </w:r>
            <w:r w:rsidRPr="00AB6476">
              <w:t xml:space="preserve">Proiectul de act normativ nu se referă la acest subiect.     </w:t>
            </w:r>
          </w:p>
        </w:tc>
      </w:tr>
      <w:tr w:rsidR="00AB4CF8" w:rsidRPr="00E81280" w:rsidTr="00A07E40">
        <w:trPr>
          <w:trHeight w:val="593"/>
        </w:trPr>
        <w:tc>
          <w:tcPr>
            <w:tcW w:w="2670" w:type="dxa"/>
          </w:tcPr>
          <w:p w:rsidR="00AB4CF8" w:rsidRPr="00E81280" w:rsidRDefault="00AB4CF8" w:rsidP="00A07E40">
            <w:r>
              <w:t>2</w:t>
            </w:r>
            <w:r w:rsidRPr="00E81280">
              <w:rPr>
                <w:vertAlign w:val="superscript"/>
              </w:rPr>
              <w:t>1</w:t>
            </w:r>
            <w:r>
              <w:rPr>
                <w:vertAlign w:val="superscript"/>
              </w:rPr>
              <w:t xml:space="preserve"> </w:t>
            </w:r>
            <w:r>
              <w:t>Impactul asupra sarcinilor administrative</w:t>
            </w:r>
          </w:p>
        </w:tc>
        <w:tc>
          <w:tcPr>
            <w:tcW w:w="7890" w:type="dxa"/>
            <w:gridSpan w:val="10"/>
          </w:tcPr>
          <w:p w:rsidR="00AB4CF8" w:rsidRPr="00AB6476" w:rsidRDefault="00AB4CF8" w:rsidP="00A07E40">
            <w:pPr>
              <w:ind w:firstLine="232"/>
              <w:jc w:val="both"/>
            </w:pPr>
            <w:r>
              <w:t xml:space="preserve"> </w:t>
            </w:r>
            <w:r w:rsidRPr="00AB6476">
              <w:t>Proiectul de act normativ nu se referă la acest subiect.</w:t>
            </w:r>
          </w:p>
        </w:tc>
      </w:tr>
      <w:tr w:rsidR="00AB4CF8" w:rsidRPr="00E81280" w:rsidTr="00A07E40">
        <w:tc>
          <w:tcPr>
            <w:tcW w:w="2670" w:type="dxa"/>
          </w:tcPr>
          <w:p w:rsidR="00AB4CF8" w:rsidRPr="00FF2C52" w:rsidRDefault="00AB4CF8" w:rsidP="00A07E40">
            <w:r>
              <w:t>2</w:t>
            </w:r>
            <w:r>
              <w:rPr>
                <w:vertAlign w:val="superscript"/>
              </w:rPr>
              <w:t>2</w:t>
            </w:r>
            <w:r>
              <w:t xml:space="preserve"> Impactul asupra întreprinderilor mici şi mijlocii</w:t>
            </w:r>
          </w:p>
        </w:tc>
        <w:tc>
          <w:tcPr>
            <w:tcW w:w="7890" w:type="dxa"/>
            <w:gridSpan w:val="10"/>
          </w:tcPr>
          <w:p w:rsidR="00AB4CF8" w:rsidRPr="00E81280" w:rsidRDefault="00AB4CF8" w:rsidP="00A07E40">
            <w:pPr>
              <w:jc w:val="both"/>
              <w:rPr>
                <w:highlight w:val="yellow"/>
                <w:u w:val="single"/>
              </w:rPr>
            </w:pPr>
            <w:r w:rsidRPr="00A66BF4">
              <w:t xml:space="preserve">     </w:t>
            </w:r>
            <w:r w:rsidRPr="00AB6476">
              <w:t>Proiectul de act normativ nu se referă la acest subiect.</w:t>
            </w:r>
          </w:p>
        </w:tc>
      </w:tr>
      <w:tr w:rsidR="00AB4CF8" w:rsidRPr="00E81280" w:rsidTr="00A07E40">
        <w:tc>
          <w:tcPr>
            <w:tcW w:w="2670" w:type="dxa"/>
          </w:tcPr>
          <w:p w:rsidR="00AB4CF8" w:rsidRPr="00E81280" w:rsidRDefault="00AB4CF8" w:rsidP="00A07E40">
            <w:pPr>
              <w:spacing w:line="360" w:lineRule="auto"/>
            </w:pPr>
            <w:r w:rsidRPr="00E81280">
              <w:t>3. Impactul social</w:t>
            </w:r>
          </w:p>
        </w:tc>
        <w:tc>
          <w:tcPr>
            <w:tcW w:w="7890" w:type="dxa"/>
            <w:gridSpan w:val="10"/>
          </w:tcPr>
          <w:p w:rsidR="00AB4CF8" w:rsidRPr="00E81280" w:rsidRDefault="00AB4CF8" w:rsidP="00A07E40">
            <w:pPr>
              <w:jc w:val="both"/>
              <w:rPr>
                <w:bCs/>
              </w:rPr>
            </w:pPr>
            <w:r>
              <w:t xml:space="preserve">     </w:t>
            </w:r>
            <w:r w:rsidRPr="00AB6476">
              <w:t>Proiectul de act normativ nu se referă la acest subiect.</w:t>
            </w:r>
          </w:p>
          <w:p w:rsidR="00AB4CF8" w:rsidRPr="00E81280" w:rsidRDefault="00AB4CF8" w:rsidP="00A07E40">
            <w:pPr>
              <w:jc w:val="both"/>
              <w:rPr>
                <w:bCs/>
                <w:highlight w:val="yellow"/>
              </w:rPr>
            </w:pPr>
          </w:p>
        </w:tc>
      </w:tr>
      <w:tr w:rsidR="00AB4CF8" w:rsidRPr="00E81280" w:rsidTr="00A07E40">
        <w:tc>
          <w:tcPr>
            <w:tcW w:w="2670" w:type="dxa"/>
          </w:tcPr>
          <w:p w:rsidR="00AB4CF8" w:rsidRPr="00E81280" w:rsidRDefault="00AB4CF8" w:rsidP="00A07E40">
            <w:r w:rsidRPr="00E81280">
              <w:t xml:space="preserve">4. Impactul asupra mediului </w:t>
            </w:r>
          </w:p>
        </w:tc>
        <w:tc>
          <w:tcPr>
            <w:tcW w:w="7890" w:type="dxa"/>
            <w:gridSpan w:val="10"/>
          </w:tcPr>
          <w:p w:rsidR="00AB4CF8" w:rsidRDefault="00AB4CF8" w:rsidP="00A07E40">
            <w:pPr>
              <w:jc w:val="both"/>
            </w:pPr>
            <w:r w:rsidRPr="00F336ED">
              <w:t xml:space="preserve">     Evaluarea impactului asupra mediului se realizează de către autoritatea competentă în domeniu. </w:t>
            </w:r>
          </w:p>
          <w:p w:rsidR="00B217A6" w:rsidRPr="00F336ED" w:rsidRDefault="00B217A6" w:rsidP="00B217A6">
            <w:pPr>
              <w:ind w:firstLine="286"/>
              <w:jc w:val="both"/>
            </w:pPr>
            <w:r>
              <w:t>Pentru realizarea obiectivului ,,</w:t>
            </w:r>
            <w:r w:rsidRPr="006900D7">
              <w:t>Exploatarea minereurilor auro-argintifere din Perimetrul Certej</w:t>
            </w:r>
            <w:r>
              <w:t>” au fost emise:</w:t>
            </w:r>
          </w:p>
          <w:p w:rsidR="00B217A6" w:rsidRDefault="00AB4CF8" w:rsidP="00B217A6">
            <w:pPr>
              <w:autoSpaceDE w:val="0"/>
              <w:autoSpaceDN w:val="0"/>
              <w:adjustRightInd w:val="0"/>
              <w:jc w:val="both"/>
              <w:rPr>
                <w:lang w:val="en-GB"/>
              </w:rPr>
            </w:pPr>
            <w:r>
              <w:t xml:space="preserve"> </w:t>
            </w:r>
            <w:r w:rsidR="00B217A6">
              <w:t>-</w:t>
            </w:r>
            <w:r>
              <w:t xml:space="preserve"> </w:t>
            </w:r>
            <w:r w:rsidR="00B217A6">
              <w:rPr>
                <w:lang w:val="en-GB"/>
              </w:rPr>
              <w:t>Acord de mediu nr. 8/05.07.2012 revizuit la data de 28.11.2013 emis de către Agenția pentru Protecția Mediului Hunedoara;</w:t>
            </w:r>
          </w:p>
          <w:p w:rsidR="00B217A6" w:rsidRDefault="00B217A6" w:rsidP="00B217A6">
            <w:pPr>
              <w:autoSpaceDE w:val="0"/>
              <w:autoSpaceDN w:val="0"/>
              <w:adjustRightInd w:val="0"/>
              <w:jc w:val="both"/>
              <w:rPr>
                <w:lang w:val="en-GB"/>
              </w:rPr>
            </w:pPr>
            <w:r>
              <w:rPr>
                <w:lang w:val="en-GB"/>
              </w:rPr>
              <w:t>- Decizia nr. 4471/24.05.2017 emisă de către Agenția pentru Protecția Mediului Hunedoara;</w:t>
            </w:r>
          </w:p>
          <w:p w:rsidR="00B217A6" w:rsidRDefault="00B217A6" w:rsidP="00B217A6">
            <w:pPr>
              <w:autoSpaceDE w:val="0"/>
              <w:autoSpaceDN w:val="0"/>
              <w:adjustRightInd w:val="0"/>
              <w:jc w:val="both"/>
              <w:rPr>
                <w:lang w:val="en-GB"/>
              </w:rPr>
            </w:pPr>
            <w:r>
              <w:rPr>
                <w:lang w:val="en-GB"/>
              </w:rPr>
              <w:t>- adresa Agenției pentru Protecția Mediului Hunedoara nr. 1061/08.02.2018;</w:t>
            </w:r>
          </w:p>
          <w:p w:rsidR="00B217A6" w:rsidRDefault="00B217A6" w:rsidP="00B217A6">
            <w:pPr>
              <w:autoSpaceDE w:val="0"/>
              <w:autoSpaceDN w:val="0"/>
              <w:adjustRightInd w:val="0"/>
              <w:jc w:val="both"/>
              <w:rPr>
                <w:lang w:val="en-GB"/>
              </w:rPr>
            </w:pPr>
            <w:r>
              <w:rPr>
                <w:lang w:val="en-GB"/>
              </w:rPr>
              <w:t>- Decizia etapei de încadrare nr. 15/19.01.2018 emisă de Agenția pentru Protecția Mediului Timiș;</w:t>
            </w:r>
          </w:p>
          <w:p w:rsidR="00AB4CF8" w:rsidRPr="00E81280" w:rsidRDefault="00AB4CF8" w:rsidP="00A07E40">
            <w:pPr>
              <w:ind w:firstLine="232"/>
              <w:jc w:val="both"/>
              <w:rPr>
                <w:highlight w:val="yellow"/>
              </w:rPr>
            </w:pPr>
          </w:p>
        </w:tc>
      </w:tr>
      <w:tr w:rsidR="00AB4CF8" w:rsidRPr="00E81280" w:rsidTr="00A07E40">
        <w:tc>
          <w:tcPr>
            <w:tcW w:w="2670" w:type="dxa"/>
          </w:tcPr>
          <w:p w:rsidR="00AB4CF8" w:rsidRPr="00E81280" w:rsidRDefault="00AB4CF8" w:rsidP="00A07E40">
            <w:r w:rsidRPr="00E81280">
              <w:t>5. Alte informaţii</w:t>
            </w:r>
          </w:p>
        </w:tc>
        <w:tc>
          <w:tcPr>
            <w:tcW w:w="7890" w:type="dxa"/>
            <w:gridSpan w:val="10"/>
          </w:tcPr>
          <w:p w:rsidR="00AB4CF8" w:rsidRPr="00E81280" w:rsidRDefault="00AB4CF8" w:rsidP="00A07E40">
            <w:pPr>
              <w:jc w:val="both"/>
            </w:pPr>
            <w:r>
              <w:t xml:space="preserve">     </w:t>
            </w:r>
          </w:p>
        </w:tc>
      </w:tr>
      <w:tr w:rsidR="00AB4CF8" w:rsidRPr="00E81280" w:rsidTr="00A07E40">
        <w:tc>
          <w:tcPr>
            <w:tcW w:w="10560" w:type="dxa"/>
            <w:gridSpan w:val="11"/>
          </w:tcPr>
          <w:p w:rsidR="00AB4CF8" w:rsidRDefault="00AB4CF8" w:rsidP="00A07E40">
            <w:pPr>
              <w:jc w:val="center"/>
              <w:rPr>
                <w:b/>
              </w:rPr>
            </w:pPr>
            <w:r w:rsidRPr="00E81280">
              <w:rPr>
                <w:b/>
              </w:rPr>
              <w:t>Secţiunea a 4-a: Impactul financiar asupra bugetului general consolidat, atât pe termen scurt, pentru anul curent, cât şi pe termen lung (pe 5 ani)</w:t>
            </w:r>
          </w:p>
          <w:p w:rsidR="00AB4CF8" w:rsidRPr="006672EB" w:rsidRDefault="00AB4CF8" w:rsidP="00A07E40">
            <w:r w:rsidRPr="006672EB">
              <w:t xml:space="preserve">Proiectul de act normativ nu are impact asupra bugetului </w:t>
            </w:r>
            <w:r>
              <w:t xml:space="preserve">general </w:t>
            </w:r>
            <w:r w:rsidRPr="006672EB">
              <w:t>consolidat</w:t>
            </w:r>
          </w:p>
        </w:tc>
      </w:tr>
      <w:tr w:rsidR="00AB4CF8" w:rsidRPr="00E81280" w:rsidTr="00A07E40">
        <w:tc>
          <w:tcPr>
            <w:tcW w:w="10560" w:type="dxa"/>
            <w:gridSpan w:val="11"/>
          </w:tcPr>
          <w:p w:rsidR="00AB4CF8" w:rsidRPr="00E81280" w:rsidRDefault="00AB4CF8" w:rsidP="00A07E40">
            <w:pPr>
              <w:spacing w:line="360" w:lineRule="auto"/>
              <w:jc w:val="right"/>
            </w:pPr>
            <w:r w:rsidRPr="00E81280">
              <w:t>- mii lei -</w:t>
            </w:r>
          </w:p>
        </w:tc>
      </w:tr>
      <w:tr w:rsidR="00AB4CF8" w:rsidRPr="00E81280" w:rsidTr="00A07E40">
        <w:trPr>
          <w:trHeight w:val="564"/>
        </w:trPr>
        <w:tc>
          <w:tcPr>
            <w:tcW w:w="4478" w:type="dxa"/>
            <w:gridSpan w:val="3"/>
          </w:tcPr>
          <w:p w:rsidR="00AB4CF8" w:rsidRPr="00E81280" w:rsidRDefault="00AB4CF8" w:rsidP="00A07E40">
            <w:pPr>
              <w:spacing w:line="360" w:lineRule="auto"/>
              <w:jc w:val="center"/>
            </w:pPr>
            <w:r w:rsidRPr="00E81280">
              <w:t>Indicatori</w:t>
            </w:r>
          </w:p>
        </w:tc>
        <w:tc>
          <w:tcPr>
            <w:tcW w:w="900" w:type="dxa"/>
            <w:gridSpan w:val="2"/>
          </w:tcPr>
          <w:p w:rsidR="00AB4CF8" w:rsidRPr="00E81280" w:rsidRDefault="00AB4CF8" w:rsidP="00A07E40">
            <w:pPr>
              <w:jc w:val="center"/>
            </w:pPr>
            <w:r w:rsidRPr="00E81280">
              <w:t>Anul</w:t>
            </w:r>
          </w:p>
          <w:p w:rsidR="00AB4CF8" w:rsidRPr="00E81280" w:rsidRDefault="00AB4CF8" w:rsidP="00A07E40">
            <w:pPr>
              <w:jc w:val="center"/>
            </w:pPr>
            <w:r w:rsidRPr="00E81280">
              <w:t>curent</w:t>
            </w:r>
          </w:p>
        </w:tc>
        <w:tc>
          <w:tcPr>
            <w:tcW w:w="4042" w:type="dxa"/>
            <w:gridSpan w:val="5"/>
          </w:tcPr>
          <w:p w:rsidR="00AB4CF8" w:rsidRPr="00E81280" w:rsidRDefault="00AB4CF8" w:rsidP="00A07E40">
            <w:pPr>
              <w:jc w:val="center"/>
            </w:pPr>
            <w:r w:rsidRPr="00E81280">
              <w:t>Următorii</w:t>
            </w:r>
          </w:p>
          <w:p w:rsidR="00AB4CF8" w:rsidRPr="00E81280" w:rsidRDefault="00AB4CF8" w:rsidP="00A07E40">
            <w:pPr>
              <w:jc w:val="center"/>
            </w:pPr>
            <w:r w:rsidRPr="00E81280">
              <w:t>4 ani</w:t>
            </w:r>
          </w:p>
        </w:tc>
        <w:tc>
          <w:tcPr>
            <w:tcW w:w="1140" w:type="dxa"/>
          </w:tcPr>
          <w:p w:rsidR="00AB4CF8" w:rsidRPr="00E81280" w:rsidRDefault="00AB4CF8" w:rsidP="00A07E40">
            <w:pPr>
              <w:jc w:val="center"/>
            </w:pPr>
            <w:r w:rsidRPr="00E81280">
              <w:t>Media</w:t>
            </w:r>
          </w:p>
          <w:p w:rsidR="00AB4CF8" w:rsidRPr="00E81280" w:rsidRDefault="00AB4CF8" w:rsidP="00A07E40">
            <w:pPr>
              <w:jc w:val="center"/>
            </w:pPr>
            <w:r w:rsidRPr="00E81280">
              <w:t>pe 5 ani</w:t>
            </w:r>
          </w:p>
        </w:tc>
      </w:tr>
      <w:tr w:rsidR="00AB4CF8" w:rsidRPr="00E81280" w:rsidTr="00A07E40">
        <w:trPr>
          <w:trHeight w:val="170"/>
        </w:trPr>
        <w:tc>
          <w:tcPr>
            <w:tcW w:w="4478" w:type="dxa"/>
            <w:gridSpan w:val="3"/>
          </w:tcPr>
          <w:p w:rsidR="00AB4CF8" w:rsidRPr="00E81280" w:rsidRDefault="00AB4CF8" w:rsidP="00A07E40">
            <w:pPr>
              <w:spacing w:line="360" w:lineRule="auto"/>
              <w:jc w:val="center"/>
            </w:pPr>
            <w:r w:rsidRPr="00E81280">
              <w:t>1</w:t>
            </w:r>
          </w:p>
        </w:tc>
        <w:tc>
          <w:tcPr>
            <w:tcW w:w="900" w:type="dxa"/>
            <w:gridSpan w:val="2"/>
          </w:tcPr>
          <w:p w:rsidR="00AB4CF8" w:rsidRPr="00E81280" w:rsidRDefault="00AB4CF8" w:rsidP="00A07E40">
            <w:pPr>
              <w:spacing w:line="360" w:lineRule="auto"/>
              <w:jc w:val="center"/>
            </w:pPr>
            <w:r w:rsidRPr="00E81280">
              <w:t>2</w:t>
            </w:r>
          </w:p>
        </w:tc>
        <w:tc>
          <w:tcPr>
            <w:tcW w:w="1072" w:type="dxa"/>
          </w:tcPr>
          <w:p w:rsidR="00AB4CF8" w:rsidRPr="00E81280" w:rsidRDefault="00AB4CF8" w:rsidP="00A07E40">
            <w:pPr>
              <w:spacing w:line="360" w:lineRule="auto"/>
              <w:jc w:val="center"/>
            </w:pPr>
            <w:r w:rsidRPr="00E81280">
              <w:t>3</w:t>
            </w:r>
          </w:p>
        </w:tc>
        <w:tc>
          <w:tcPr>
            <w:tcW w:w="990" w:type="dxa"/>
            <w:gridSpan w:val="2"/>
          </w:tcPr>
          <w:p w:rsidR="00AB4CF8" w:rsidRPr="00E81280" w:rsidRDefault="00AB4CF8" w:rsidP="00A07E40">
            <w:pPr>
              <w:spacing w:line="360" w:lineRule="auto"/>
              <w:jc w:val="center"/>
            </w:pPr>
            <w:r w:rsidRPr="00E81280">
              <w:t>4</w:t>
            </w:r>
          </w:p>
        </w:tc>
        <w:tc>
          <w:tcPr>
            <w:tcW w:w="990" w:type="dxa"/>
          </w:tcPr>
          <w:p w:rsidR="00AB4CF8" w:rsidRPr="00E81280" w:rsidRDefault="00AB4CF8" w:rsidP="00A07E40">
            <w:pPr>
              <w:spacing w:line="360" w:lineRule="auto"/>
              <w:jc w:val="center"/>
            </w:pPr>
            <w:r w:rsidRPr="00E81280">
              <w:t>5</w:t>
            </w:r>
          </w:p>
        </w:tc>
        <w:tc>
          <w:tcPr>
            <w:tcW w:w="990" w:type="dxa"/>
          </w:tcPr>
          <w:p w:rsidR="00AB4CF8" w:rsidRPr="00E81280" w:rsidRDefault="00AB4CF8" w:rsidP="00A07E40">
            <w:pPr>
              <w:spacing w:line="360" w:lineRule="auto"/>
              <w:jc w:val="center"/>
            </w:pPr>
            <w:r w:rsidRPr="00E81280">
              <w:t>6</w:t>
            </w:r>
          </w:p>
        </w:tc>
        <w:tc>
          <w:tcPr>
            <w:tcW w:w="1140" w:type="dxa"/>
          </w:tcPr>
          <w:p w:rsidR="00AB4CF8" w:rsidRPr="00E81280" w:rsidRDefault="00AB4CF8" w:rsidP="00A07E40">
            <w:pPr>
              <w:spacing w:line="360" w:lineRule="auto"/>
              <w:jc w:val="center"/>
            </w:pPr>
            <w:r w:rsidRPr="00E81280">
              <w:t>7</w:t>
            </w:r>
          </w:p>
        </w:tc>
      </w:tr>
      <w:tr w:rsidR="00AB4CF8" w:rsidRPr="00E81280" w:rsidTr="00A07E40">
        <w:tc>
          <w:tcPr>
            <w:tcW w:w="4478" w:type="dxa"/>
            <w:gridSpan w:val="3"/>
          </w:tcPr>
          <w:p w:rsidR="00AB4CF8" w:rsidRPr="00E81280" w:rsidRDefault="00AB4CF8" w:rsidP="00A07E40">
            <w:pPr>
              <w:spacing w:line="360" w:lineRule="auto"/>
              <w:jc w:val="center"/>
            </w:pPr>
          </w:p>
        </w:tc>
        <w:tc>
          <w:tcPr>
            <w:tcW w:w="900" w:type="dxa"/>
            <w:gridSpan w:val="2"/>
          </w:tcPr>
          <w:p w:rsidR="00AB4CF8" w:rsidRPr="00E81280" w:rsidRDefault="00AB4CF8" w:rsidP="00A07E40">
            <w:pPr>
              <w:spacing w:line="360" w:lineRule="auto"/>
              <w:jc w:val="center"/>
            </w:pPr>
            <w:r w:rsidRPr="00E81280">
              <w:t>201</w:t>
            </w:r>
            <w:r>
              <w:t>8</w:t>
            </w:r>
          </w:p>
        </w:tc>
        <w:tc>
          <w:tcPr>
            <w:tcW w:w="1072" w:type="dxa"/>
          </w:tcPr>
          <w:p w:rsidR="00AB4CF8" w:rsidRPr="00E81280" w:rsidRDefault="00AB4CF8" w:rsidP="00A07E40">
            <w:pPr>
              <w:spacing w:line="360" w:lineRule="auto"/>
              <w:jc w:val="center"/>
            </w:pPr>
            <w:r>
              <w:t>2019</w:t>
            </w:r>
          </w:p>
        </w:tc>
        <w:tc>
          <w:tcPr>
            <w:tcW w:w="990" w:type="dxa"/>
            <w:gridSpan w:val="2"/>
          </w:tcPr>
          <w:p w:rsidR="00AB4CF8" w:rsidRPr="00E81280" w:rsidRDefault="00AB4CF8" w:rsidP="00A07E40">
            <w:pPr>
              <w:spacing w:line="360" w:lineRule="auto"/>
              <w:jc w:val="center"/>
            </w:pPr>
            <w:r>
              <w:t>2020</w:t>
            </w:r>
          </w:p>
        </w:tc>
        <w:tc>
          <w:tcPr>
            <w:tcW w:w="990" w:type="dxa"/>
          </w:tcPr>
          <w:p w:rsidR="00AB4CF8" w:rsidRPr="00E81280" w:rsidRDefault="00AB4CF8" w:rsidP="00A07E40">
            <w:pPr>
              <w:spacing w:line="360" w:lineRule="auto"/>
              <w:jc w:val="center"/>
            </w:pPr>
            <w:r>
              <w:t>2021</w:t>
            </w:r>
          </w:p>
        </w:tc>
        <w:tc>
          <w:tcPr>
            <w:tcW w:w="990" w:type="dxa"/>
          </w:tcPr>
          <w:p w:rsidR="00AB4CF8" w:rsidRPr="00E81280" w:rsidRDefault="00AB4CF8" w:rsidP="00A07E40">
            <w:pPr>
              <w:spacing w:line="360" w:lineRule="auto"/>
              <w:jc w:val="center"/>
            </w:pPr>
            <w:r>
              <w:t>2022</w:t>
            </w:r>
          </w:p>
        </w:tc>
        <w:tc>
          <w:tcPr>
            <w:tcW w:w="1140" w:type="dxa"/>
          </w:tcPr>
          <w:p w:rsidR="00AB4CF8" w:rsidRPr="00E81280" w:rsidRDefault="00AB4CF8" w:rsidP="00A07E40">
            <w:pPr>
              <w:spacing w:line="360" w:lineRule="auto"/>
            </w:pPr>
            <w:r w:rsidRPr="00E81280">
              <w:t>-</w:t>
            </w:r>
          </w:p>
        </w:tc>
      </w:tr>
      <w:tr w:rsidR="00AB4CF8" w:rsidRPr="00E81280" w:rsidTr="00A07E40">
        <w:trPr>
          <w:trHeight w:val="330"/>
        </w:trPr>
        <w:tc>
          <w:tcPr>
            <w:tcW w:w="4478" w:type="dxa"/>
            <w:gridSpan w:val="3"/>
            <w:vMerge w:val="restart"/>
          </w:tcPr>
          <w:p w:rsidR="00AB4CF8" w:rsidRPr="00E81280" w:rsidRDefault="00AB4CF8" w:rsidP="00A07E40">
            <w:pPr>
              <w:jc w:val="both"/>
            </w:pPr>
            <w:r w:rsidRPr="00E81280">
              <w:lastRenderedPageBreak/>
              <w:t>Modificări ale veniturilor bugetare, plus/minus, din care:</w:t>
            </w:r>
          </w:p>
          <w:p w:rsidR="00AB4CF8" w:rsidRPr="00E81280" w:rsidRDefault="00AB4CF8" w:rsidP="00AB4CF8">
            <w:pPr>
              <w:numPr>
                <w:ilvl w:val="0"/>
                <w:numId w:val="1"/>
              </w:numPr>
              <w:jc w:val="both"/>
            </w:pPr>
            <w:r w:rsidRPr="00E81280">
              <w:t>buget de stat, din acesta:</w:t>
            </w:r>
          </w:p>
          <w:p w:rsidR="00AB4CF8" w:rsidRPr="00E81280" w:rsidRDefault="00AB4CF8" w:rsidP="00AB4CF8">
            <w:pPr>
              <w:numPr>
                <w:ilvl w:val="0"/>
                <w:numId w:val="2"/>
              </w:numPr>
              <w:tabs>
                <w:tab w:val="clear" w:pos="1080"/>
                <w:tab w:val="left" w:pos="720"/>
                <w:tab w:val="num" w:pos="900"/>
              </w:tabs>
              <w:ind w:left="360" w:firstLine="0"/>
              <w:jc w:val="both"/>
            </w:pPr>
            <w:r w:rsidRPr="00E81280">
              <w:t>impozit pe profit</w:t>
            </w:r>
          </w:p>
          <w:p w:rsidR="00AB4CF8" w:rsidRPr="00E81280" w:rsidRDefault="00AB4CF8" w:rsidP="00AB4CF8">
            <w:pPr>
              <w:numPr>
                <w:ilvl w:val="0"/>
                <w:numId w:val="2"/>
              </w:numPr>
              <w:tabs>
                <w:tab w:val="clear" w:pos="1080"/>
                <w:tab w:val="left" w:pos="720"/>
                <w:tab w:val="num" w:pos="900"/>
              </w:tabs>
              <w:jc w:val="both"/>
            </w:pPr>
            <w:r w:rsidRPr="00E81280">
              <w:t>impozit pe venit</w:t>
            </w:r>
          </w:p>
          <w:p w:rsidR="00AB4CF8" w:rsidRPr="00E81280" w:rsidRDefault="00AB4CF8" w:rsidP="00AB4CF8">
            <w:pPr>
              <w:numPr>
                <w:ilvl w:val="0"/>
                <w:numId w:val="1"/>
              </w:numPr>
              <w:tabs>
                <w:tab w:val="left" w:pos="720"/>
              </w:tabs>
              <w:jc w:val="both"/>
            </w:pPr>
            <w:r w:rsidRPr="00E81280">
              <w:t>bugete locale:</w:t>
            </w:r>
          </w:p>
          <w:p w:rsidR="00AB4CF8" w:rsidRPr="00E81280" w:rsidRDefault="00AB4CF8" w:rsidP="00AB4CF8">
            <w:pPr>
              <w:numPr>
                <w:ilvl w:val="0"/>
                <w:numId w:val="3"/>
              </w:numPr>
              <w:tabs>
                <w:tab w:val="clear" w:pos="1080"/>
                <w:tab w:val="left" w:pos="720"/>
                <w:tab w:val="num" w:pos="900"/>
              </w:tabs>
              <w:jc w:val="both"/>
            </w:pPr>
            <w:r w:rsidRPr="00E81280">
              <w:t>impozit pe profit</w:t>
            </w:r>
          </w:p>
          <w:p w:rsidR="00AB4CF8" w:rsidRPr="00E81280" w:rsidRDefault="00AB4CF8" w:rsidP="00AB4CF8">
            <w:pPr>
              <w:numPr>
                <w:ilvl w:val="0"/>
                <w:numId w:val="1"/>
              </w:numPr>
              <w:tabs>
                <w:tab w:val="left" w:pos="720"/>
              </w:tabs>
              <w:jc w:val="both"/>
            </w:pPr>
            <w:r w:rsidRPr="00E81280">
              <w:t>bugetul asigurărilor sociale de stat:</w:t>
            </w:r>
          </w:p>
          <w:p w:rsidR="00AB4CF8" w:rsidRPr="00E81280" w:rsidRDefault="00AB4CF8" w:rsidP="00AB4CF8">
            <w:pPr>
              <w:numPr>
                <w:ilvl w:val="0"/>
                <w:numId w:val="4"/>
              </w:numPr>
              <w:tabs>
                <w:tab w:val="clear" w:pos="1080"/>
                <w:tab w:val="left" w:pos="720"/>
                <w:tab w:val="num" w:pos="900"/>
              </w:tabs>
              <w:jc w:val="both"/>
            </w:pPr>
            <w:r w:rsidRPr="00E81280">
              <w:t>contribuţii de asigurări</w:t>
            </w: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324"/>
        </w:trPr>
        <w:tc>
          <w:tcPr>
            <w:tcW w:w="4478" w:type="dxa"/>
            <w:gridSpan w:val="3"/>
            <w:vMerge/>
          </w:tcPr>
          <w:p w:rsidR="00AB4CF8" w:rsidRPr="00E81280" w:rsidRDefault="00AB4CF8" w:rsidP="00A07E40">
            <w:pPr>
              <w:jc w:val="both"/>
            </w:pPr>
          </w:p>
        </w:tc>
        <w:tc>
          <w:tcPr>
            <w:tcW w:w="892" w:type="dxa"/>
          </w:tcPr>
          <w:p w:rsidR="00AB4CF8" w:rsidRPr="00E81280" w:rsidRDefault="00AB4CF8" w:rsidP="00A07E40">
            <w:pPr>
              <w:jc w:val="both"/>
            </w:pPr>
          </w:p>
        </w:tc>
        <w:tc>
          <w:tcPr>
            <w:tcW w:w="1080" w:type="dxa"/>
            <w:gridSpan w:val="2"/>
          </w:tcPr>
          <w:p w:rsidR="00AB4CF8" w:rsidRPr="00E81280" w:rsidRDefault="00AB4CF8" w:rsidP="00A07E40">
            <w:pPr>
              <w:jc w:val="both"/>
            </w:pPr>
          </w:p>
        </w:tc>
        <w:tc>
          <w:tcPr>
            <w:tcW w:w="990" w:type="dxa"/>
            <w:gridSpan w:val="2"/>
          </w:tcPr>
          <w:p w:rsidR="00AB4CF8" w:rsidRPr="00E81280" w:rsidRDefault="00AB4CF8" w:rsidP="00A07E40">
            <w:pPr>
              <w:jc w:val="both"/>
            </w:pPr>
          </w:p>
        </w:tc>
        <w:tc>
          <w:tcPr>
            <w:tcW w:w="990" w:type="dxa"/>
          </w:tcPr>
          <w:p w:rsidR="00AB4CF8" w:rsidRPr="00E81280" w:rsidRDefault="00AB4CF8" w:rsidP="00A07E40">
            <w:pPr>
              <w:jc w:val="both"/>
            </w:pPr>
          </w:p>
        </w:tc>
        <w:tc>
          <w:tcPr>
            <w:tcW w:w="990" w:type="dxa"/>
          </w:tcPr>
          <w:p w:rsidR="00AB4CF8" w:rsidRPr="00E81280" w:rsidRDefault="00AB4CF8" w:rsidP="00A07E40">
            <w:pPr>
              <w:jc w:val="both"/>
            </w:pPr>
          </w:p>
        </w:tc>
        <w:tc>
          <w:tcPr>
            <w:tcW w:w="1140" w:type="dxa"/>
          </w:tcPr>
          <w:p w:rsidR="00AB4CF8" w:rsidRPr="00E81280" w:rsidRDefault="00AB4CF8" w:rsidP="00A07E40">
            <w:pPr>
              <w:jc w:val="both"/>
            </w:pPr>
          </w:p>
        </w:tc>
      </w:tr>
      <w:tr w:rsidR="00AB4CF8" w:rsidRPr="00E81280" w:rsidTr="00A07E40">
        <w:trPr>
          <w:trHeight w:val="451"/>
        </w:trPr>
        <w:tc>
          <w:tcPr>
            <w:tcW w:w="4478" w:type="dxa"/>
            <w:gridSpan w:val="3"/>
            <w:vMerge w:val="restart"/>
          </w:tcPr>
          <w:p w:rsidR="00AB4CF8" w:rsidRPr="00E81280" w:rsidRDefault="00AB4CF8" w:rsidP="00A07E40">
            <w:pPr>
              <w:autoSpaceDE w:val="0"/>
              <w:autoSpaceDN w:val="0"/>
              <w:adjustRightInd w:val="0"/>
            </w:pPr>
            <w:r w:rsidRPr="00E81280">
              <w:t>2. Modificări ale cheltuielilor bugetare plus/minus, din care:</w:t>
            </w:r>
          </w:p>
          <w:p w:rsidR="00AB4CF8" w:rsidRPr="00E81280" w:rsidRDefault="00AB4CF8" w:rsidP="00AB4CF8">
            <w:pPr>
              <w:numPr>
                <w:ilvl w:val="0"/>
                <w:numId w:val="5"/>
              </w:numPr>
              <w:jc w:val="both"/>
            </w:pPr>
            <w:r w:rsidRPr="00E81280">
              <w:t>buget de stat</w:t>
            </w:r>
          </w:p>
          <w:p w:rsidR="00AB4CF8" w:rsidRPr="00E81280" w:rsidRDefault="00AB4CF8" w:rsidP="00AB4CF8">
            <w:pPr>
              <w:numPr>
                <w:ilvl w:val="1"/>
                <w:numId w:val="6"/>
              </w:numPr>
              <w:tabs>
                <w:tab w:val="clear" w:pos="1800"/>
                <w:tab w:val="num" w:pos="0"/>
              </w:tabs>
              <w:autoSpaceDE w:val="0"/>
              <w:autoSpaceDN w:val="0"/>
              <w:adjustRightInd w:val="0"/>
              <w:ind w:left="360"/>
            </w:pPr>
            <w:r w:rsidRPr="00E81280">
              <w:t>credit extern</w:t>
            </w:r>
          </w:p>
          <w:p w:rsidR="00AB4CF8" w:rsidRPr="00E81280" w:rsidRDefault="00AB4CF8" w:rsidP="00AB4CF8">
            <w:pPr>
              <w:numPr>
                <w:ilvl w:val="1"/>
                <w:numId w:val="7"/>
              </w:numPr>
              <w:tabs>
                <w:tab w:val="clear" w:pos="1800"/>
                <w:tab w:val="num" w:pos="0"/>
              </w:tabs>
              <w:autoSpaceDE w:val="0"/>
              <w:autoSpaceDN w:val="0"/>
              <w:adjustRightInd w:val="0"/>
              <w:ind w:left="360"/>
            </w:pPr>
            <w:r w:rsidRPr="00E81280">
              <w:t>surse proprii</w:t>
            </w:r>
          </w:p>
        </w:tc>
        <w:tc>
          <w:tcPr>
            <w:tcW w:w="892" w:type="dxa"/>
          </w:tcPr>
          <w:p w:rsidR="00AB4CF8" w:rsidRPr="00E81280" w:rsidRDefault="00AB4CF8" w:rsidP="00A07E40">
            <w:pPr>
              <w:spacing w:line="360" w:lineRule="auto"/>
              <w:jc w:val="both"/>
            </w:pPr>
            <w:r w:rsidRPr="00E81280">
              <w:t>-</w:t>
            </w:r>
          </w:p>
        </w:tc>
        <w:tc>
          <w:tcPr>
            <w:tcW w:w="1080" w:type="dxa"/>
            <w:gridSpan w:val="2"/>
          </w:tcPr>
          <w:p w:rsidR="00AB4CF8" w:rsidRPr="00E81280" w:rsidRDefault="00AB4CF8" w:rsidP="00A07E40">
            <w:pPr>
              <w:spacing w:line="360" w:lineRule="auto"/>
              <w:jc w:val="both"/>
            </w:pPr>
            <w:r w:rsidRPr="00E81280">
              <w:t xml:space="preserve">- </w:t>
            </w:r>
          </w:p>
        </w:tc>
        <w:tc>
          <w:tcPr>
            <w:tcW w:w="990" w:type="dxa"/>
            <w:gridSpan w:val="2"/>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1140" w:type="dxa"/>
          </w:tcPr>
          <w:p w:rsidR="00AB4CF8" w:rsidRPr="00E81280" w:rsidRDefault="00AB4CF8" w:rsidP="00A07E40">
            <w:pPr>
              <w:spacing w:line="360" w:lineRule="auto"/>
              <w:jc w:val="both"/>
            </w:pPr>
            <w:r w:rsidRPr="00E81280">
              <w:t xml:space="preserve">      -</w:t>
            </w:r>
          </w:p>
        </w:tc>
      </w:tr>
      <w:tr w:rsidR="00AB4CF8" w:rsidRPr="00E81280" w:rsidTr="00A07E40">
        <w:trPr>
          <w:trHeight w:val="348"/>
        </w:trPr>
        <w:tc>
          <w:tcPr>
            <w:tcW w:w="4478" w:type="dxa"/>
            <w:gridSpan w:val="3"/>
            <w:vMerge/>
          </w:tcPr>
          <w:p w:rsidR="00AB4CF8" w:rsidRPr="00E81280" w:rsidRDefault="00AB4CF8" w:rsidP="00A07E40">
            <w:pPr>
              <w:autoSpaceDE w:val="0"/>
              <w:autoSpaceDN w:val="0"/>
              <w:adjustRightInd w:val="0"/>
            </w:pPr>
          </w:p>
        </w:tc>
        <w:tc>
          <w:tcPr>
            <w:tcW w:w="892" w:type="dxa"/>
          </w:tcPr>
          <w:p w:rsidR="00AB4CF8" w:rsidRPr="00E81280" w:rsidRDefault="00AB4CF8" w:rsidP="00A07E40">
            <w:pPr>
              <w:spacing w:line="360" w:lineRule="auto"/>
              <w:jc w:val="both"/>
            </w:pPr>
            <w:r w:rsidRPr="00E81280">
              <w:t>-</w:t>
            </w:r>
          </w:p>
        </w:tc>
        <w:tc>
          <w:tcPr>
            <w:tcW w:w="1080" w:type="dxa"/>
            <w:gridSpan w:val="2"/>
          </w:tcPr>
          <w:p w:rsidR="00AB4CF8" w:rsidRPr="00E81280" w:rsidRDefault="00AB4CF8" w:rsidP="00A07E40">
            <w:pPr>
              <w:spacing w:line="360" w:lineRule="auto"/>
              <w:jc w:val="both"/>
            </w:pPr>
            <w:r w:rsidRPr="00E81280">
              <w:t>-</w:t>
            </w:r>
          </w:p>
        </w:tc>
        <w:tc>
          <w:tcPr>
            <w:tcW w:w="990" w:type="dxa"/>
            <w:gridSpan w:val="2"/>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1140" w:type="dxa"/>
          </w:tcPr>
          <w:p w:rsidR="00AB4CF8" w:rsidRPr="00E81280" w:rsidRDefault="00AB4CF8" w:rsidP="00A07E40">
            <w:pPr>
              <w:spacing w:line="360" w:lineRule="auto"/>
              <w:jc w:val="both"/>
            </w:pPr>
            <w:r w:rsidRPr="00E81280">
              <w:t>-</w:t>
            </w:r>
          </w:p>
        </w:tc>
      </w:tr>
      <w:tr w:rsidR="00AB4CF8" w:rsidRPr="00E81280" w:rsidTr="00A07E40">
        <w:trPr>
          <w:trHeight w:val="292"/>
        </w:trPr>
        <w:tc>
          <w:tcPr>
            <w:tcW w:w="4478" w:type="dxa"/>
            <w:gridSpan w:val="3"/>
            <w:vMerge/>
          </w:tcPr>
          <w:p w:rsidR="00AB4CF8" w:rsidRPr="00E81280" w:rsidRDefault="00AB4CF8" w:rsidP="00A07E40">
            <w:pPr>
              <w:autoSpaceDE w:val="0"/>
              <w:autoSpaceDN w:val="0"/>
              <w:adjustRightInd w:val="0"/>
            </w:pPr>
          </w:p>
        </w:tc>
        <w:tc>
          <w:tcPr>
            <w:tcW w:w="892" w:type="dxa"/>
          </w:tcPr>
          <w:p w:rsidR="00AB4CF8" w:rsidRPr="00E81280" w:rsidRDefault="00AB4CF8" w:rsidP="00A07E40">
            <w:pPr>
              <w:jc w:val="both"/>
            </w:pPr>
            <w:r w:rsidRPr="00E81280">
              <w:t>-</w:t>
            </w:r>
          </w:p>
        </w:tc>
        <w:tc>
          <w:tcPr>
            <w:tcW w:w="1080" w:type="dxa"/>
            <w:gridSpan w:val="2"/>
          </w:tcPr>
          <w:p w:rsidR="00AB4CF8" w:rsidRPr="00E81280" w:rsidRDefault="00AB4CF8" w:rsidP="00A07E40">
            <w:pPr>
              <w:spacing w:line="360" w:lineRule="auto"/>
              <w:jc w:val="both"/>
            </w:pPr>
            <w:r w:rsidRPr="00E81280">
              <w:t>-</w:t>
            </w:r>
          </w:p>
        </w:tc>
        <w:tc>
          <w:tcPr>
            <w:tcW w:w="990" w:type="dxa"/>
            <w:gridSpan w:val="2"/>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990" w:type="dxa"/>
          </w:tcPr>
          <w:p w:rsidR="00AB4CF8" w:rsidRPr="00E81280" w:rsidRDefault="00AB4CF8" w:rsidP="00A07E40">
            <w:pPr>
              <w:spacing w:line="360" w:lineRule="auto"/>
              <w:jc w:val="both"/>
            </w:pPr>
            <w:r w:rsidRPr="00E81280">
              <w:t>-</w:t>
            </w:r>
          </w:p>
        </w:tc>
        <w:tc>
          <w:tcPr>
            <w:tcW w:w="1140" w:type="dxa"/>
          </w:tcPr>
          <w:p w:rsidR="00AB4CF8" w:rsidRPr="00E81280" w:rsidRDefault="00AB4CF8" w:rsidP="00A07E40">
            <w:pPr>
              <w:spacing w:line="360" w:lineRule="auto"/>
              <w:jc w:val="both"/>
            </w:pPr>
            <w:r w:rsidRPr="00E81280">
              <w:t>-</w:t>
            </w:r>
          </w:p>
        </w:tc>
      </w:tr>
      <w:tr w:rsidR="00AB4CF8" w:rsidRPr="00E81280" w:rsidTr="00A07E40">
        <w:trPr>
          <w:trHeight w:val="285"/>
        </w:trPr>
        <w:tc>
          <w:tcPr>
            <w:tcW w:w="4478" w:type="dxa"/>
            <w:gridSpan w:val="3"/>
            <w:vMerge w:val="restart"/>
          </w:tcPr>
          <w:p w:rsidR="00AB4CF8" w:rsidRPr="00E81280" w:rsidRDefault="00AB4CF8" w:rsidP="00A07E40">
            <w:pPr>
              <w:autoSpaceDE w:val="0"/>
              <w:autoSpaceDN w:val="0"/>
              <w:adjustRightInd w:val="0"/>
              <w:jc w:val="both"/>
            </w:pPr>
            <w:r w:rsidRPr="00E81280">
              <w:t>3. Impact financiar, plus/minus, din care:</w:t>
            </w:r>
          </w:p>
          <w:p w:rsidR="00AB4CF8" w:rsidRPr="00E81280" w:rsidRDefault="00AB4CF8" w:rsidP="00AB4CF8">
            <w:pPr>
              <w:numPr>
                <w:ilvl w:val="0"/>
                <w:numId w:val="8"/>
              </w:numPr>
              <w:autoSpaceDE w:val="0"/>
              <w:autoSpaceDN w:val="0"/>
              <w:adjustRightInd w:val="0"/>
              <w:jc w:val="both"/>
            </w:pPr>
            <w:r w:rsidRPr="00E81280">
              <w:t>buget de stat</w:t>
            </w:r>
          </w:p>
          <w:p w:rsidR="00AB4CF8" w:rsidRPr="00E81280" w:rsidRDefault="00AB4CF8" w:rsidP="00AB4CF8">
            <w:pPr>
              <w:numPr>
                <w:ilvl w:val="0"/>
                <w:numId w:val="8"/>
              </w:numPr>
              <w:autoSpaceDE w:val="0"/>
              <w:autoSpaceDN w:val="0"/>
              <w:adjustRightInd w:val="0"/>
              <w:jc w:val="both"/>
            </w:pPr>
            <w:r w:rsidRPr="00E81280">
              <w:t>bugete locale</w:t>
            </w:r>
          </w:p>
        </w:tc>
        <w:tc>
          <w:tcPr>
            <w:tcW w:w="892" w:type="dxa"/>
          </w:tcPr>
          <w:p w:rsidR="00AB4CF8" w:rsidRPr="00E81280" w:rsidRDefault="00AB4CF8" w:rsidP="00A07E40">
            <w:pPr>
              <w:ind w:left="-108"/>
              <w:jc w:val="both"/>
            </w:pPr>
            <w:r w:rsidRPr="00E81280">
              <w:t xml:space="preserve">  -</w:t>
            </w:r>
          </w:p>
          <w:p w:rsidR="00AB4CF8" w:rsidRPr="00E81280" w:rsidDel="005D215F" w:rsidRDefault="00AB4CF8" w:rsidP="00A07E40">
            <w:pPr>
              <w:jc w:val="both"/>
            </w:pPr>
          </w:p>
        </w:tc>
        <w:tc>
          <w:tcPr>
            <w:tcW w:w="1080" w:type="dxa"/>
            <w:gridSpan w:val="2"/>
          </w:tcPr>
          <w:p w:rsidR="00AB4CF8" w:rsidRPr="00E81280" w:rsidDel="005D215F" w:rsidRDefault="00AB4CF8" w:rsidP="00A07E40">
            <w:pPr>
              <w:jc w:val="both"/>
            </w:pPr>
            <w:r w:rsidRPr="00E81280">
              <w:t>-</w:t>
            </w:r>
          </w:p>
        </w:tc>
        <w:tc>
          <w:tcPr>
            <w:tcW w:w="990" w:type="dxa"/>
            <w:gridSpan w:val="2"/>
          </w:tcPr>
          <w:p w:rsidR="00AB4CF8" w:rsidRPr="00E81280" w:rsidDel="005D215F" w:rsidRDefault="00AB4CF8" w:rsidP="00A07E40">
            <w:pPr>
              <w:jc w:val="both"/>
            </w:pPr>
            <w:r w:rsidRPr="00E81280">
              <w:t>-</w:t>
            </w:r>
          </w:p>
        </w:tc>
        <w:tc>
          <w:tcPr>
            <w:tcW w:w="990" w:type="dxa"/>
          </w:tcPr>
          <w:p w:rsidR="00AB4CF8" w:rsidRPr="00E81280" w:rsidDel="005D215F" w:rsidRDefault="00AB4CF8" w:rsidP="00A07E40">
            <w:pPr>
              <w:jc w:val="both"/>
            </w:pPr>
            <w:r w:rsidRPr="00E81280">
              <w:t>-</w:t>
            </w:r>
          </w:p>
        </w:tc>
        <w:tc>
          <w:tcPr>
            <w:tcW w:w="990" w:type="dxa"/>
          </w:tcPr>
          <w:p w:rsidR="00AB4CF8" w:rsidRPr="00E81280" w:rsidDel="005D215F" w:rsidRDefault="00AB4CF8" w:rsidP="00A07E40">
            <w:pPr>
              <w:jc w:val="both"/>
            </w:pPr>
            <w:r w:rsidRPr="00E81280">
              <w:t>-</w:t>
            </w:r>
          </w:p>
        </w:tc>
        <w:tc>
          <w:tcPr>
            <w:tcW w:w="1140" w:type="dxa"/>
          </w:tcPr>
          <w:p w:rsidR="00AB4CF8" w:rsidRPr="00E81280" w:rsidDel="005D215F" w:rsidRDefault="00AB4CF8" w:rsidP="00A07E40">
            <w:pPr>
              <w:jc w:val="both"/>
            </w:pPr>
            <w:r w:rsidRPr="00E81280">
              <w:t>-</w:t>
            </w:r>
          </w:p>
        </w:tc>
      </w:tr>
      <w:tr w:rsidR="00AB4CF8" w:rsidRPr="00E81280" w:rsidTr="00A07E40">
        <w:trPr>
          <w:trHeight w:val="432"/>
        </w:trPr>
        <w:tc>
          <w:tcPr>
            <w:tcW w:w="4478" w:type="dxa"/>
            <w:gridSpan w:val="3"/>
            <w:vMerge/>
          </w:tcPr>
          <w:p w:rsidR="00AB4CF8" w:rsidRPr="00E81280" w:rsidRDefault="00AB4CF8" w:rsidP="00A07E40">
            <w:pPr>
              <w:autoSpaceDE w:val="0"/>
              <w:autoSpaceDN w:val="0"/>
              <w:adjustRightInd w:val="0"/>
              <w:jc w:val="both"/>
            </w:pPr>
          </w:p>
        </w:tc>
        <w:tc>
          <w:tcPr>
            <w:tcW w:w="892" w:type="dxa"/>
          </w:tcPr>
          <w:p w:rsidR="00AB4CF8" w:rsidRPr="00E81280" w:rsidDel="005D215F" w:rsidRDefault="00AB4CF8" w:rsidP="00A07E40">
            <w:pPr>
              <w:jc w:val="both"/>
            </w:pPr>
            <w:r w:rsidRPr="00E81280">
              <w:t>-</w:t>
            </w:r>
          </w:p>
        </w:tc>
        <w:tc>
          <w:tcPr>
            <w:tcW w:w="1080" w:type="dxa"/>
            <w:gridSpan w:val="2"/>
          </w:tcPr>
          <w:p w:rsidR="00AB4CF8" w:rsidRPr="00E81280" w:rsidDel="005D215F" w:rsidRDefault="00AB4CF8" w:rsidP="00A07E40">
            <w:pPr>
              <w:jc w:val="both"/>
            </w:pPr>
            <w:r w:rsidRPr="00E81280">
              <w:t>-</w:t>
            </w:r>
          </w:p>
        </w:tc>
        <w:tc>
          <w:tcPr>
            <w:tcW w:w="974" w:type="dxa"/>
          </w:tcPr>
          <w:p w:rsidR="00AB4CF8" w:rsidRPr="00E81280" w:rsidDel="005D215F" w:rsidRDefault="00AB4CF8" w:rsidP="00A07E40">
            <w:pPr>
              <w:jc w:val="both"/>
            </w:pPr>
            <w:r w:rsidRPr="00E81280">
              <w:t>-</w:t>
            </w:r>
          </w:p>
        </w:tc>
        <w:tc>
          <w:tcPr>
            <w:tcW w:w="1006" w:type="dxa"/>
            <w:gridSpan w:val="2"/>
          </w:tcPr>
          <w:p w:rsidR="00AB4CF8" w:rsidRPr="00E81280" w:rsidDel="005D215F" w:rsidRDefault="00AB4CF8" w:rsidP="00A07E40">
            <w:pPr>
              <w:jc w:val="both"/>
            </w:pPr>
            <w:r w:rsidRPr="00E81280">
              <w:t>-</w:t>
            </w:r>
          </w:p>
        </w:tc>
        <w:tc>
          <w:tcPr>
            <w:tcW w:w="990" w:type="dxa"/>
          </w:tcPr>
          <w:p w:rsidR="00AB4CF8" w:rsidRPr="00E81280" w:rsidDel="005D215F" w:rsidRDefault="00AB4CF8" w:rsidP="00A07E40">
            <w:pPr>
              <w:jc w:val="both"/>
            </w:pPr>
            <w:r w:rsidRPr="00E81280">
              <w:t>-</w:t>
            </w:r>
          </w:p>
        </w:tc>
        <w:tc>
          <w:tcPr>
            <w:tcW w:w="1140" w:type="dxa"/>
          </w:tcPr>
          <w:p w:rsidR="00AB4CF8" w:rsidRPr="00E81280" w:rsidDel="005D215F" w:rsidRDefault="00AB4CF8" w:rsidP="00A07E40">
            <w:pPr>
              <w:jc w:val="both"/>
            </w:pPr>
            <w:r w:rsidRPr="00E81280">
              <w:t>-</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4. Propuneri pentru acoperirea creşterii cheltuielilor bugetare</w:t>
            </w:r>
          </w:p>
        </w:tc>
        <w:tc>
          <w:tcPr>
            <w:tcW w:w="6082" w:type="dxa"/>
            <w:gridSpan w:val="8"/>
          </w:tcPr>
          <w:p w:rsidR="00AB4CF8" w:rsidRPr="00E81280" w:rsidRDefault="00AB4CF8" w:rsidP="00A07E40">
            <w:pPr>
              <w:jc w:val="both"/>
            </w:pPr>
            <w:r w:rsidRPr="00E81280">
              <w:t xml:space="preserve">- </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5. Propuneri pentru a compensa reducerea veniturilor bugetare</w:t>
            </w:r>
          </w:p>
        </w:tc>
        <w:tc>
          <w:tcPr>
            <w:tcW w:w="6082" w:type="dxa"/>
            <w:gridSpan w:val="8"/>
          </w:tcPr>
          <w:p w:rsidR="00AB4CF8" w:rsidRPr="00E81280" w:rsidRDefault="00AB4CF8" w:rsidP="00A07E40">
            <w:pPr>
              <w:jc w:val="both"/>
            </w:pPr>
            <w:r w:rsidRPr="00E81280">
              <w:t xml:space="preserve"> </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6. Calcule detaliate privind fundamentarea modificărilor veniturilor şi/sau cheltuielilor bugetare</w:t>
            </w:r>
          </w:p>
        </w:tc>
        <w:tc>
          <w:tcPr>
            <w:tcW w:w="6082" w:type="dxa"/>
            <w:gridSpan w:val="8"/>
          </w:tcPr>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t>7. Alte informaţii</w:t>
            </w:r>
          </w:p>
        </w:tc>
        <w:tc>
          <w:tcPr>
            <w:tcW w:w="6082" w:type="dxa"/>
            <w:gridSpan w:val="8"/>
          </w:tcPr>
          <w:p w:rsidR="00AB4CF8" w:rsidRPr="00E81280" w:rsidRDefault="00AB4CF8" w:rsidP="00A07E40">
            <w:pPr>
              <w:jc w:val="both"/>
            </w:pPr>
            <w:r>
              <w:t>Nu au fost identificate</w:t>
            </w:r>
          </w:p>
        </w:tc>
      </w:tr>
      <w:tr w:rsidR="00AB4CF8" w:rsidRPr="00E81280" w:rsidTr="00A07E40">
        <w:trPr>
          <w:trHeight w:val="401"/>
        </w:trPr>
        <w:tc>
          <w:tcPr>
            <w:tcW w:w="10560" w:type="dxa"/>
            <w:gridSpan w:val="11"/>
          </w:tcPr>
          <w:p w:rsidR="00AB4CF8" w:rsidRPr="00E81280" w:rsidRDefault="00AB4CF8" w:rsidP="00A07E40">
            <w:pPr>
              <w:jc w:val="center"/>
              <w:rPr>
                <w:b/>
              </w:rPr>
            </w:pPr>
            <w:r w:rsidRPr="00E81280">
              <w:rPr>
                <w:b/>
              </w:rPr>
              <w:t>Secţiunea a 5-a: Efectele proiectului de act normativ asupra legislaţiei în vigoare</w:t>
            </w:r>
          </w:p>
        </w:tc>
      </w:tr>
      <w:tr w:rsidR="00AB4CF8" w:rsidRPr="00E81280" w:rsidTr="00A07E40">
        <w:tc>
          <w:tcPr>
            <w:tcW w:w="4478" w:type="dxa"/>
            <w:gridSpan w:val="3"/>
          </w:tcPr>
          <w:p w:rsidR="00AB4CF8" w:rsidRPr="00E81280" w:rsidRDefault="00AB4CF8" w:rsidP="00A07E40">
            <w:r w:rsidRPr="00E81280">
              <w:t>1.Măsuri normative necesare pentru aplicarea prevederilor proiectului de act normativ:</w:t>
            </w:r>
            <w:r>
              <w:t xml:space="preserve"> </w:t>
            </w:r>
          </w:p>
          <w:p w:rsidR="00AB4CF8" w:rsidRPr="00E81280" w:rsidRDefault="00AB4CF8" w:rsidP="00A07E40">
            <w:r w:rsidRPr="00E81280">
              <w:t xml:space="preserve">a) acte normative în vigoare ce vor fi modificate sau abrogate, ca urmare a intrării în vigoare a proiectului de act normativ; </w:t>
            </w:r>
          </w:p>
          <w:p w:rsidR="00AB4CF8" w:rsidRPr="00E81280" w:rsidRDefault="00AB4CF8" w:rsidP="00A07E40">
            <w:pPr>
              <w:autoSpaceDE w:val="0"/>
              <w:autoSpaceDN w:val="0"/>
              <w:adjustRightInd w:val="0"/>
              <w:jc w:val="both"/>
            </w:pPr>
            <w:r w:rsidRPr="00E81280">
              <w:t>b) acte normative ce urmează a fi elaborate în vederea implementării noilor dispoziţii</w:t>
            </w:r>
          </w:p>
        </w:tc>
        <w:tc>
          <w:tcPr>
            <w:tcW w:w="6082" w:type="dxa"/>
            <w:gridSpan w:val="8"/>
          </w:tcPr>
          <w:p w:rsidR="00AB4CF8" w:rsidRPr="00E81280" w:rsidRDefault="00AB4CF8" w:rsidP="00A07E40">
            <w:pPr>
              <w:jc w:val="both"/>
            </w:pPr>
            <w:r w:rsidRPr="00E81280">
              <w:t>Proiectul de act normativ nu se referă la acest subiect.</w:t>
            </w:r>
          </w:p>
        </w:tc>
      </w:tr>
      <w:tr w:rsidR="00AB4CF8" w:rsidRPr="00E81280" w:rsidTr="00A07E40">
        <w:tc>
          <w:tcPr>
            <w:tcW w:w="4478" w:type="dxa"/>
            <w:gridSpan w:val="3"/>
          </w:tcPr>
          <w:p w:rsidR="00AB4CF8" w:rsidRPr="00A431BA" w:rsidRDefault="00AB4CF8" w:rsidP="00A07E40">
            <w:pPr>
              <w:autoSpaceDE w:val="0"/>
              <w:autoSpaceDN w:val="0"/>
              <w:adjustRightInd w:val="0"/>
              <w:jc w:val="both"/>
            </w:pPr>
            <w:r w:rsidRPr="00A431BA">
              <w:t>1</w:t>
            </w:r>
            <w:r w:rsidRPr="00A431BA">
              <w:rPr>
                <w:vertAlign w:val="superscript"/>
              </w:rPr>
              <w:t xml:space="preserve">1 </w:t>
            </w:r>
            <w:r w:rsidRPr="00A431BA">
              <w:t>Compatibilitatea proiectului de act normativ cu legislaţia în domeniul achiziţiilor publice:</w:t>
            </w:r>
          </w:p>
          <w:p w:rsidR="00AB4CF8" w:rsidRPr="00A431BA" w:rsidRDefault="00AB4CF8" w:rsidP="00A07E40">
            <w:pPr>
              <w:autoSpaceDE w:val="0"/>
              <w:autoSpaceDN w:val="0"/>
              <w:adjustRightInd w:val="0"/>
              <w:jc w:val="both"/>
            </w:pPr>
            <w:r w:rsidRPr="00A431BA">
              <w:t>a) impact legislativ - prevederi de modificare şi completare a cadrului normativ în domeniul achiziţiilor publice, prevederi derogatorii;</w:t>
            </w:r>
          </w:p>
          <w:p w:rsidR="00AB4CF8" w:rsidRPr="00A431BA" w:rsidRDefault="00AB4CF8" w:rsidP="00A07E40">
            <w:pPr>
              <w:jc w:val="both"/>
            </w:pPr>
            <w:r w:rsidRPr="00A431BA">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sz w:val="28"/>
                <w:szCs w:val="28"/>
              </w:rPr>
              <w:t>.</w:t>
            </w:r>
          </w:p>
        </w:tc>
        <w:tc>
          <w:tcPr>
            <w:tcW w:w="6082" w:type="dxa"/>
            <w:gridSpan w:val="8"/>
          </w:tcPr>
          <w:p w:rsidR="00AB4CF8" w:rsidRPr="00E81280" w:rsidRDefault="00AB4CF8" w:rsidP="00A07E40">
            <w:pPr>
              <w:jc w:val="both"/>
            </w:pPr>
            <w:r w:rsidRPr="00E81280">
              <w:t>Proiectul de act normativ nu se referă la acest subiect.</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2. Compatibilitatea proiectului de act normativ cu legislaţia comunitară în materie</w:t>
            </w:r>
          </w:p>
        </w:tc>
        <w:tc>
          <w:tcPr>
            <w:tcW w:w="6082" w:type="dxa"/>
            <w:gridSpan w:val="8"/>
          </w:tcPr>
          <w:p w:rsidR="00AB4CF8"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3. Măsuri normative necesare aplicării directe a actelor normative comunitare</w:t>
            </w:r>
          </w:p>
        </w:tc>
        <w:tc>
          <w:tcPr>
            <w:tcW w:w="6082" w:type="dxa"/>
            <w:gridSpan w:val="8"/>
          </w:tcPr>
          <w:p w:rsidR="00AB4CF8"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4. Hotărâri ale Curţii Europene de Justiţie a Uniunii Europene</w:t>
            </w:r>
          </w:p>
        </w:tc>
        <w:tc>
          <w:tcPr>
            <w:tcW w:w="6082" w:type="dxa"/>
            <w:gridSpan w:val="8"/>
          </w:tcPr>
          <w:p w:rsidR="00AB4CF8" w:rsidRPr="00E81280" w:rsidRDefault="00AB4CF8" w:rsidP="00A07E40">
            <w:pPr>
              <w:spacing w:line="360" w:lineRule="auto"/>
              <w:jc w:val="both"/>
            </w:pPr>
            <w:r>
              <w:t>Proiectul de act normativ nu se referă la acest subiect.</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lastRenderedPageBreak/>
              <w:t>5. Alte acte normative şi/sau documente internaţionale din care decurg angajamente</w:t>
            </w:r>
          </w:p>
        </w:tc>
        <w:tc>
          <w:tcPr>
            <w:tcW w:w="6082" w:type="dxa"/>
            <w:gridSpan w:val="8"/>
          </w:tcPr>
          <w:p w:rsidR="00AB4CF8" w:rsidRPr="00E81280" w:rsidRDefault="00AB4CF8" w:rsidP="00A07E40">
            <w:pPr>
              <w:jc w:val="both"/>
            </w:pPr>
            <w:r>
              <w:t xml:space="preserve">Proiectul de act normativ nu se referă la acest subiect. </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6. Alte informaţi</w:t>
            </w:r>
          </w:p>
        </w:tc>
        <w:tc>
          <w:tcPr>
            <w:tcW w:w="6082" w:type="dxa"/>
            <w:gridSpan w:val="8"/>
          </w:tcPr>
          <w:p w:rsidR="00AB4CF8" w:rsidRPr="00E81280" w:rsidRDefault="00AB4CF8" w:rsidP="00A07E40">
            <w:pPr>
              <w:jc w:val="both"/>
            </w:pPr>
            <w:r w:rsidRPr="00E81280">
              <w:t>Nu au fost identificate</w:t>
            </w:r>
          </w:p>
        </w:tc>
      </w:tr>
      <w:tr w:rsidR="00AB4CF8" w:rsidRPr="00E81280" w:rsidTr="00A07E40">
        <w:tc>
          <w:tcPr>
            <w:tcW w:w="10560" w:type="dxa"/>
            <w:gridSpan w:val="11"/>
          </w:tcPr>
          <w:p w:rsidR="00AB4CF8" w:rsidRPr="00E81280" w:rsidRDefault="00AB4CF8" w:rsidP="00A07E40">
            <w:pPr>
              <w:autoSpaceDE w:val="0"/>
              <w:autoSpaceDN w:val="0"/>
              <w:adjustRightInd w:val="0"/>
              <w:spacing w:line="360" w:lineRule="auto"/>
              <w:jc w:val="center"/>
              <w:rPr>
                <w:b/>
              </w:rPr>
            </w:pPr>
            <w:r w:rsidRPr="00E81280">
              <w:rPr>
                <w:b/>
              </w:rPr>
              <w:t>Secţiunea a 6-a: Consultările efectuate în vederea elaborării proiectului de act normativ</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1. Informaţii privind procesul de consultare cu organizaţii neguvernamentale, institute de cercetare şi alte organisme implicate</w:t>
            </w:r>
          </w:p>
        </w:tc>
        <w:tc>
          <w:tcPr>
            <w:tcW w:w="6082" w:type="dxa"/>
            <w:gridSpan w:val="8"/>
          </w:tcPr>
          <w:p w:rsidR="00AB4CF8" w:rsidRPr="00E81280"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2. Fundamentarea alegerii organizaţiilor cu care a avut loc consultarea, precum şi a modului în care activitatea acestor organizaţii este legată de obiectul proiectului de act normativ</w:t>
            </w:r>
          </w:p>
        </w:tc>
        <w:tc>
          <w:tcPr>
            <w:tcW w:w="6082" w:type="dxa"/>
            <w:gridSpan w:val="8"/>
          </w:tcPr>
          <w:p w:rsidR="00AB4CF8" w:rsidRPr="00E81280" w:rsidRDefault="00AB4CF8" w:rsidP="00A07E40">
            <w:pPr>
              <w:jc w:val="both"/>
            </w:pPr>
            <w:r w:rsidRPr="00E81280">
              <w:t>Proiectul de act normativ nu se referă la acest subiect.</w:t>
            </w:r>
          </w:p>
          <w:p w:rsidR="00AB4CF8" w:rsidRPr="00E81280" w:rsidRDefault="00AB4CF8" w:rsidP="00A07E40">
            <w:pPr>
              <w:spacing w:line="360" w:lineRule="auto"/>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AB4CF8" w:rsidRPr="00E81280"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4. Consultările desfăşurate în cadrul consiliilor interministeriale, în conformitate cu prevederile Hotărârii Guvernului nr.</w:t>
            </w:r>
          </w:p>
          <w:p w:rsidR="00AB4CF8" w:rsidRPr="00E81280" w:rsidRDefault="00AB4CF8" w:rsidP="00A07E40">
            <w:pPr>
              <w:autoSpaceDE w:val="0"/>
              <w:autoSpaceDN w:val="0"/>
              <w:adjustRightInd w:val="0"/>
              <w:jc w:val="both"/>
            </w:pPr>
            <w:r w:rsidRPr="00E81280">
              <w:t xml:space="preserve"> 750/2005 privind constituirea consiliilor interministeriale permanente</w:t>
            </w:r>
          </w:p>
        </w:tc>
        <w:tc>
          <w:tcPr>
            <w:tcW w:w="6082" w:type="dxa"/>
            <w:gridSpan w:val="8"/>
          </w:tcPr>
          <w:p w:rsidR="00AB4CF8" w:rsidRPr="00E81280" w:rsidRDefault="00AB4CF8" w:rsidP="00B217A6">
            <w:pPr>
              <w:autoSpaceDE w:val="0"/>
              <w:autoSpaceDN w:val="0"/>
              <w:adjustRightInd w:val="0"/>
              <w:jc w:val="both"/>
            </w:pPr>
            <w:r w:rsidRPr="0072580D">
              <w:t>Acest proiect nu este supus consultărilor comisiilor interministeriale</w:t>
            </w:r>
            <w:r w:rsidRPr="009C0F98">
              <w:t xml:space="preserve"> </w:t>
            </w:r>
            <w:r w:rsidRPr="009C0F98">
              <w:rPr>
                <w:b/>
              </w:rPr>
              <w:t xml:space="preserve"> </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5. Informaţii privind avizarea către:</w:t>
            </w:r>
          </w:p>
          <w:p w:rsidR="00AB4CF8" w:rsidRPr="00E81280" w:rsidRDefault="00AB4CF8" w:rsidP="00A07E40">
            <w:pPr>
              <w:autoSpaceDE w:val="0"/>
              <w:autoSpaceDN w:val="0"/>
              <w:adjustRightInd w:val="0"/>
              <w:jc w:val="both"/>
            </w:pPr>
            <w:r w:rsidRPr="00E81280">
              <w:t>a) Consiliul Legislativ</w:t>
            </w:r>
          </w:p>
          <w:p w:rsidR="00AB4CF8" w:rsidRPr="00E81280" w:rsidRDefault="00AB4CF8" w:rsidP="00A07E40">
            <w:pPr>
              <w:autoSpaceDE w:val="0"/>
              <w:autoSpaceDN w:val="0"/>
              <w:adjustRightInd w:val="0"/>
              <w:jc w:val="both"/>
            </w:pPr>
            <w:r w:rsidRPr="00E81280">
              <w:t>b) Consiliul Suprem de Apărare a Ţării</w:t>
            </w:r>
          </w:p>
          <w:p w:rsidR="00AB4CF8" w:rsidRPr="00E81280" w:rsidRDefault="00AB4CF8" w:rsidP="00A07E40">
            <w:pPr>
              <w:autoSpaceDE w:val="0"/>
              <w:autoSpaceDN w:val="0"/>
              <w:adjustRightInd w:val="0"/>
              <w:jc w:val="both"/>
            </w:pPr>
            <w:r w:rsidRPr="00E81280">
              <w:t>c) Consiliul Economic şi Social</w:t>
            </w:r>
          </w:p>
          <w:p w:rsidR="00AB4CF8" w:rsidRPr="00E81280" w:rsidRDefault="00AB4CF8" w:rsidP="00A07E40">
            <w:pPr>
              <w:autoSpaceDE w:val="0"/>
              <w:autoSpaceDN w:val="0"/>
              <w:adjustRightInd w:val="0"/>
              <w:jc w:val="both"/>
            </w:pPr>
            <w:r w:rsidRPr="00E81280">
              <w:t>d) Consiliul Concurenţei</w:t>
            </w:r>
          </w:p>
          <w:p w:rsidR="00AB4CF8" w:rsidRPr="00E81280" w:rsidRDefault="00AB4CF8" w:rsidP="00A07E40">
            <w:pPr>
              <w:autoSpaceDE w:val="0"/>
              <w:autoSpaceDN w:val="0"/>
              <w:adjustRightInd w:val="0"/>
              <w:jc w:val="both"/>
            </w:pPr>
            <w:r w:rsidRPr="00E81280">
              <w:t>e) Curtea de Conturi</w:t>
            </w:r>
          </w:p>
        </w:tc>
        <w:tc>
          <w:tcPr>
            <w:tcW w:w="6082" w:type="dxa"/>
            <w:gridSpan w:val="8"/>
          </w:tcPr>
          <w:p w:rsidR="00AB4CF8" w:rsidRPr="00E81280" w:rsidRDefault="00AB4CF8" w:rsidP="00A07E40">
            <w:pPr>
              <w:jc w:val="both"/>
            </w:pPr>
            <w:r>
              <w:t>Proiectul nu se referă la acest subiect.</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t>6. Alte informaţii</w:t>
            </w:r>
          </w:p>
        </w:tc>
        <w:tc>
          <w:tcPr>
            <w:tcW w:w="6082" w:type="dxa"/>
            <w:gridSpan w:val="8"/>
          </w:tcPr>
          <w:p w:rsidR="00AB4CF8" w:rsidRPr="003C518C" w:rsidRDefault="00AB4CF8" w:rsidP="00A07E40">
            <w:pPr>
              <w:jc w:val="both"/>
            </w:pPr>
            <w:r>
              <w:t>Nu au fost identificate.</w:t>
            </w:r>
          </w:p>
        </w:tc>
      </w:tr>
      <w:tr w:rsidR="00AB4CF8" w:rsidRPr="00E81280" w:rsidTr="00A07E40">
        <w:tc>
          <w:tcPr>
            <w:tcW w:w="10560" w:type="dxa"/>
            <w:gridSpan w:val="11"/>
          </w:tcPr>
          <w:p w:rsidR="00AB4CF8" w:rsidRPr="002165F5" w:rsidRDefault="00AB4CF8" w:rsidP="00A07E40">
            <w:pPr>
              <w:autoSpaceDE w:val="0"/>
              <w:autoSpaceDN w:val="0"/>
              <w:adjustRightInd w:val="0"/>
              <w:jc w:val="center"/>
            </w:pPr>
            <w:r w:rsidRPr="00E81280">
              <w:rPr>
                <w:b/>
              </w:rPr>
              <w:t>Secţiunea a 7-a: Activităţi de informare publică privind elaborarea şi implementarea proiectului de act normativ</w:t>
            </w:r>
          </w:p>
        </w:tc>
      </w:tr>
      <w:tr w:rsidR="00AB4CF8" w:rsidRPr="00E81280" w:rsidTr="00A07E40">
        <w:tc>
          <w:tcPr>
            <w:tcW w:w="4478" w:type="dxa"/>
            <w:gridSpan w:val="3"/>
          </w:tcPr>
          <w:p w:rsidR="00AB4CF8" w:rsidRPr="00E81280" w:rsidRDefault="00AB4CF8" w:rsidP="00A07E40">
            <w:pPr>
              <w:autoSpaceDE w:val="0"/>
              <w:autoSpaceDN w:val="0"/>
              <w:adjustRightInd w:val="0"/>
              <w:ind w:left="-69"/>
              <w:jc w:val="both"/>
            </w:pPr>
            <w:r w:rsidRPr="00E81280">
              <w:t>1. Informarea societăţii civile cu privire la necesitatea elaborării proiectului de act normativ</w:t>
            </w:r>
          </w:p>
        </w:tc>
        <w:tc>
          <w:tcPr>
            <w:tcW w:w="6082" w:type="dxa"/>
            <w:gridSpan w:val="8"/>
          </w:tcPr>
          <w:p w:rsidR="00AB4CF8" w:rsidRPr="00E81280" w:rsidRDefault="00AB4CF8" w:rsidP="00A07E40">
            <w:pPr>
              <w:jc w:val="both"/>
            </w:pPr>
            <w:r>
              <w:t xml:space="preserve">Prezentul proiect de act normativ este supus procedurii prevăzute de </w:t>
            </w:r>
            <w:r w:rsidRPr="00605C3B">
              <w:t>Legea nr. 52/2003 privind transparenţa decizională în administraţia publică, republicată, cu modificările ulterioare.</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AB4CF8" w:rsidRPr="00E81280"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pPr>
            <w:r w:rsidRPr="00E81280">
              <w:t>3. Alte informaţii</w:t>
            </w:r>
          </w:p>
        </w:tc>
        <w:tc>
          <w:tcPr>
            <w:tcW w:w="6082" w:type="dxa"/>
            <w:gridSpan w:val="8"/>
          </w:tcPr>
          <w:p w:rsidR="00AB4CF8" w:rsidRPr="00E81280" w:rsidRDefault="00AB4CF8" w:rsidP="00A07E40">
            <w:pPr>
              <w:jc w:val="both"/>
            </w:pPr>
            <w:r w:rsidRPr="00E81280">
              <w:t>Nu au fost identificate</w:t>
            </w:r>
          </w:p>
        </w:tc>
      </w:tr>
      <w:tr w:rsidR="00AB4CF8" w:rsidRPr="00E81280" w:rsidTr="00A07E40">
        <w:trPr>
          <w:trHeight w:val="269"/>
        </w:trPr>
        <w:tc>
          <w:tcPr>
            <w:tcW w:w="10560" w:type="dxa"/>
            <w:gridSpan w:val="11"/>
          </w:tcPr>
          <w:p w:rsidR="00AB4CF8" w:rsidRPr="00E81280" w:rsidRDefault="00AB4CF8" w:rsidP="00A07E40">
            <w:pPr>
              <w:autoSpaceDE w:val="0"/>
              <w:autoSpaceDN w:val="0"/>
              <w:adjustRightInd w:val="0"/>
              <w:spacing w:line="360" w:lineRule="auto"/>
              <w:jc w:val="center"/>
              <w:rPr>
                <w:b/>
              </w:rPr>
            </w:pPr>
            <w:r w:rsidRPr="00E81280">
              <w:rPr>
                <w:b/>
              </w:rPr>
              <w:t>Secţiunea a 8-a: Măsuri de implementare</w:t>
            </w:r>
          </w:p>
        </w:tc>
      </w:tr>
      <w:tr w:rsidR="00AB4CF8" w:rsidRPr="00E81280" w:rsidTr="00A07E40">
        <w:tc>
          <w:tcPr>
            <w:tcW w:w="4478" w:type="dxa"/>
            <w:gridSpan w:val="3"/>
          </w:tcPr>
          <w:p w:rsidR="00AB4CF8" w:rsidRPr="00E81280" w:rsidRDefault="00AB4CF8" w:rsidP="00A07E40">
            <w:pPr>
              <w:autoSpaceDE w:val="0"/>
              <w:autoSpaceDN w:val="0"/>
              <w:adjustRightInd w:val="0"/>
              <w:jc w:val="both"/>
            </w:pPr>
            <w:r>
              <w:t xml:space="preserve">1. Măsurile </w:t>
            </w:r>
            <w:r w:rsidRPr="00E81280">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AB4CF8" w:rsidRPr="00E81280" w:rsidRDefault="00AB4CF8" w:rsidP="00A07E40">
            <w:pPr>
              <w:jc w:val="both"/>
            </w:pPr>
            <w:r w:rsidRPr="00E81280">
              <w:t>Proiectul de act normativ nu se referă la acest subiect.</w:t>
            </w:r>
          </w:p>
          <w:p w:rsidR="00AB4CF8" w:rsidRPr="00E81280" w:rsidRDefault="00AB4CF8" w:rsidP="00A07E40">
            <w:pPr>
              <w:jc w:val="both"/>
            </w:pPr>
          </w:p>
        </w:tc>
      </w:tr>
      <w:tr w:rsidR="00AB4CF8" w:rsidRPr="00E81280" w:rsidTr="00A07E40">
        <w:tc>
          <w:tcPr>
            <w:tcW w:w="4478" w:type="dxa"/>
            <w:gridSpan w:val="3"/>
          </w:tcPr>
          <w:p w:rsidR="00AB4CF8" w:rsidRPr="00E81280" w:rsidRDefault="00AB4CF8" w:rsidP="00A07E40">
            <w:pPr>
              <w:autoSpaceDE w:val="0"/>
              <w:autoSpaceDN w:val="0"/>
              <w:adjustRightInd w:val="0"/>
              <w:jc w:val="both"/>
            </w:pPr>
            <w:r w:rsidRPr="00E81280">
              <w:t>2. Alte informaţii</w:t>
            </w:r>
          </w:p>
        </w:tc>
        <w:tc>
          <w:tcPr>
            <w:tcW w:w="6082" w:type="dxa"/>
            <w:gridSpan w:val="8"/>
          </w:tcPr>
          <w:p w:rsidR="00AB4CF8" w:rsidRPr="00E81280" w:rsidRDefault="00AB4CF8" w:rsidP="00A07E40">
            <w:pPr>
              <w:jc w:val="both"/>
            </w:pPr>
            <w:r w:rsidRPr="00E81280">
              <w:t>Nu au fost identificate</w:t>
            </w:r>
          </w:p>
        </w:tc>
      </w:tr>
    </w:tbl>
    <w:p w:rsidR="00AB4CF8" w:rsidRDefault="00AB4CF8" w:rsidP="00AB4CF8">
      <w:pPr>
        <w:jc w:val="both"/>
        <w:rPr>
          <w:b/>
        </w:rPr>
      </w:pPr>
    </w:p>
    <w:p w:rsidR="00AB4CF8" w:rsidRDefault="00AB4CF8" w:rsidP="00AB4CF8">
      <w:pPr>
        <w:jc w:val="both"/>
        <w:rPr>
          <w:b/>
        </w:rPr>
      </w:pPr>
    </w:p>
    <w:p w:rsidR="00AB4CF8" w:rsidRDefault="00AB4CF8" w:rsidP="00AB4CF8">
      <w:pPr>
        <w:jc w:val="both"/>
        <w:rPr>
          <w:b/>
        </w:rPr>
      </w:pPr>
    </w:p>
    <w:p w:rsidR="00AB4CF8" w:rsidRDefault="00AB4CF8" w:rsidP="00AB4CF8">
      <w:pPr>
        <w:jc w:val="both"/>
        <w:rPr>
          <w:b/>
        </w:rPr>
      </w:pPr>
    </w:p>
    <w:p w:rsidR="00AB4CF8" w:rsidRPr="00D617CC" w:rsidRDefault="00AB4CF8" w:rsidP="00AB4CF8">
      <w:pPr>
        <w:jc w:val="both"/>
        <w:rPr>
          <w:b/>
        </w:rPr>
      </w:pPr>
      <w:r w:rsidRPr="00D617CC">
        <w:rPr>
          <w:b/>
        </w:rPr>
        <w:t xml:space="preserve">Pentru considerentele de mai sus, am elaborat proiectul de Hotărâre a Guvernului </w:t>
      </w:r>
      <w:r w:rsidRPr="006E27E2">
        <w:rPr>
          <w:b/>
        </w:rPr>
        <w:t xml:space="preserve">pentru </w:t>
      </w:r>
      <w:r w:rsidR="00D270F2" w:rsidRPr="00D270F2">
        <w:rPr>
          <w:b/>
        </w:rPr>
        <w:t>aprobarea scoaterii definitive din fondul forestier naţional a terenului în suprafaţă de 56,1579 ha de către S.C. Deva Gold S.A., în vederea realizării obiectivului „Exploatarea minereurilor auro-argintifere din Perimetrul Certej”</w:t>
      </w:r>
      <w:r w:rsidRPr="00D617CC">
        <w:rPr>
          <w:b/>
        </w:rPr>
        <w:t>, care în forma prezentată a fost avizat de către ministerele interesate, pe care îl supunem spre adoptare.</w:t>
      </w:r>
    </w:p>
    <w:tbl>
      <w:tblPr>
        <w:tblW w:w="0" w:type="auto"/>
        <w:tblLook w:val="01E0" w:firstRow="1" w:lastRow="1" w:firstColumn="1" w:lastColumn="1" w:noHBand="0" w:noVBand="0"/>
      </w:tblPr>
      <w:tblGrid>
        <w:gridCol w:w="10476"/>
      </w:tblGrid>
      <w:tr w:rsidR="00AB4CF8" w:rsidRPr="00B370B1" w:rsidTr="00A07E40">
        <w:tc>
          <w:tcPr>
            <w:tcW w:w="10476" w:type="dxa"/>
          </w:tcPr>
          <w:p w:rsidR="00AB4CF8" w:rsidRDefault="00AB4CF8" w:rsidP="00A07E40">
            <w:pPr>
              <w:spacing w:before="209" w:after="105"/>
              <w:jc w:val="center"/>
              <w:rPr>
                <w:b/>
              </w:rPr>
            </w:pPr>
          </w:p>
          <w:p w:rsidR="00AB4CF8" w:rsidRDefault="00AB4CF8" w:rsidP="00A07E40">
            <w:pPr>
              <w:spacing w:before="209" w:after="105"/>
              <w:jc w:val="center"/>
              <w:rPr>
                <w:b/>
              </w:rPr>
            </w:pPr>
          </w:p>
          <w:p w:rsidR="00AB4CF8" w:rsidRDefault="00AB4CF8" w:rsidP="00A07E40">
            <w:pPr>
              <w:spacing w:before="209" w:after="105"/>
              <w:jc w:val="center"/>
              <w:rPr>
                <w:b/>
              </w:rPr>
            </w:pPr>
          </w:p>
          <w:p w:rsidR="00AB4CF8" w:rsidRPr="00B370B1" w:rsidRDefault="00AB4CF8" w:rsidP="00A07E40">
            <w:pPr>
              <w:spacing w:before="209" w:after="105"/>
              <w:jc w:val="center"/>
              <w:rPr>
                <w:b/>
              </w:rPr>
            </w:pPr>
            <w:r w:rsidRPr="00B370B1">
              <w:rPr>
                <w:b/>
              </w:rPr>
              <w:t>MINISTRUL</w:t>
            </w:r>
            <w:r>
              <w:rPr>
                <w:b/>
              </w:rPr>
              <w:t xml:space="preserve"> </w:t>
            </w:r>
            <w:r w:rsidRPr="00B370B1">
              <w:rPr>
                <w:b/>
              </w:rPr>
              <w:t>APELOR ŞI PĂDURILOR</w:t>
            </w:r>
          </w:p>
        </w:tc>
      </w:tr>
      <w:tr w:rsidR="00AB4CF8" w:rsidRPr="00B370B1" w:rsidTr="00A07E40">
        <w:tc>
          <w:tcPr>
            <w:tcW w:w="10476" w:type="dxa"/>
          </w:tcPr>
          <w:p w:rsidR="00AB4CF8" w:rsidRPr="00AC6B6D" w:rsidRDefault="00AB4CF8" w:rsidP="00A07E40">
            <w:pPr>
              <w:spacing w:before="209" w:after="105"/>
              <w:jc w:val="center"/>
              <w:rPr>
                <w:b/>
              </w:rPr>
            </w:pPr>
            <w:r w:rsidRPr="00AC6B6D">
              <w:rPr>
                <w:b/>
              </w:rPr>
              <w:t>Ioan DENEȘ</w:t>
            </w:r>
          </w:p>
          <w:p w:rsidR="00AB4CF8" w:rsidRPr="00AC6B6D" w:rsidRDefault="00AB4CF8" w:rsidP="00A07E40">
            <w:pPr>
              <w:spacing w:before="209" w:after="105"/>
              <w:jc w:val="center"/>
              <w:rPr>
                <w:b/>
              </w:rPr>
            </w:pPr>
          </w:p>
          <w:p w:rsidR="00AB4CF8" w:rsidRDefault="00AB4CF8" w:rsidP="00A07E40">
            <w:pPr>
              <w:spacing w:before="209" w:after="105"/>
              <w:jc w:val="center"/>
              <w:rPr>
                <w:b/>
              </w:rPr>
            </w:pPr>
          </w:p>
          <w:p w:rsidR="00AB4CF8" w:rsidRDefault="00AB4CF8" w:rsidP="00A07E40">
            <w:pPr>
              <w:spacing w:before="209" w:after="105"/>
              <w:jc w:val="center"/>
              <w:rPr>
                <w:b/>
              </w:rPr>
            </w:pPr>
          </w:p>
          <w:p w:rsidR="00AB4CF8" w:rsidRPr="00B370B1" w:rsidRDefault="00AB4CF8" w:rsidP="00A07E40">
            <w:pPr>
              <w:spacing w:before="209" w:after="105"/>
              <w:jc w:val="center"/>
              <w:rPr>
                <w:b/>
              </w:rPr>
            </w:pPr>
          </w:p>
        </w:tc>
      </w:tr>
    </w:tbl>
    <w:p w:rsidR="00AB4CF8" w:rsidRPr="00B370B1" w:rsidRDefault="00AB4CF8" w:rsidP="00AB4CF8">
      <w:pPr>
        <w:jc w:val="center"/>
        <w:rPr>
          <w:b/>
        </w:rPr>
      </w:pPr>
    </w:p>
    <w:p w:rsidR="00AB4CF8" w:rsidRPr="00EC3F30" w:rsidRDefault="00AB4CF8" w:rsidP="00AB4CF8">
      <w:pPr>
        <w:tabs>
          <w:tab w:val="left" w:pos="1276"/>
          <w:tab w:val="left" w:pos="4140"/>
        </w:tabs>
        <w:jc w:val="center"/>
        <w:rPr>
          <w:b/>
          <w:u w:val="single"/>
        </w:rPr>
      </w:pPr>
      <w:r w:rsidRPr="00EC3F30">
        <w:rPr>
          <w:b/>
          <w:u w:val="single"/>
        </w:rPr>
        <w:t>Avizăm favorabil:</w:t>
      </w:r>
    </w:p>
    <w:p w:rsidR="00AB4CF8" w:rsidRDefault="00AB4CF8" w:rsidP="00AB4CF8">
      <w:pPr>
        <w:tabs>
          <w:tab w:val="left" w:pos="1276"/>
          <w:tab w:val="left" w:pos="4140"/>
        </w:tabs>
        <w:jc w:val="center"/>
        <w:rPr>
          <w:b/>
        </w:rPr>
      </w:pPr>
    </w:p>
    <w:p w:rsidR="00AB4CF8" w:rsidRDefault="00AB4CF8" w:rsidP="00AB4CF8">
      <w:pPr>
        <w:tabs>
          <w:tab w:val="left" w:pos="1276"/>
          <w:tab w:val="left" w:pos="4140"/>
        </w:tabs>
        <w:jc w:val="center"/>
        <w:rPr>
          <w:b/>
        </w:rPr>
      </w:pPr>
    </w:p>
    <w:p w:rsidR="00AB4CF8" w:rsidRPr="00896AA6" w:rsidRDefault="00AB4CF8" w:rsidP="00AB4CF8">
      <w:pPr>
        <w:tabs>
          <w:tab w:val="left" w:pos="1276"/>
          <w:tab w:val="left" w:pos="4140"/>
        </w:tabs>
        <w:jc w:val="center"/>
        <w:rPr>
          <w:b/>
        </w:rPr>
      </w:pPr>
    </w:p>
    <w:p w:rsidR="00AB4CF8" w:rsidRPr="00DA3440" w:rsidRDefault="00AB4CF8" w:rsidP="00AB4CF8">
      <w:pPr>
        <w:spacing w:after="600" w:line="360" w:lineRule="auto"/>
        <w:ind w:right="-232"/>
        <w:rPr>
          <w:b/>
        </w:rPr>
      </w:pPr>
      <w:r>
        <w:rPr>
          <w:b/>
        </w:rPr>
        <w:t xml:space="preserve">    </w:t>
      </w:r>
      <w:r w:rsidRPr="00DA3440">
        <w:rPr>
          <w:b/>
        </w:rPr>
        <w:t xml:space="preserve">MINISTRUL </w:t>
      </w:r>
      <w:r>
        <w:rPr>
          <w:b/>
        </w:rPr>
        <w:t>E</w:t>
      </w:r>
      <w:r w:rsidR="00EE2057">
        <w:rPr>
          <w:b/>
        </w:rPr>
        <w:t>NERGIEI</w:t>
      </w:r>
      <w:r w:rsidRPr="00DA3440">
        <w:rPr>
          <w:b/>
        </w:rPr>
        <w:tab/>
      </w:r>
      <w:r w:rsidRPr="00DA3440">
        <w:rPr>
          <w:b/>
        </w:rPr>
        <w:tab/>
      </w:r>
      <w:r w:rsidRPr="00DA3440">
        <w:rPr>
          <w:b/>
        </w:rPr>
        <w:tab/>
        <w:t xml:space="preserve">      </w:t>
      </w:r>
      <w:r>
        <w:rPr>
          <w:b/>
        </w:rPr>
        <w:t xml:space="preserve">     </w:t>
      </w:r>
      <w:r w:rsidRPr="00DA3440">
        <w:rPr>
          <w:b/>
        </w:rPr>
        <w:t>VICEPRIM-MINISTRU, MINISTRUL MEDIULUI</w:t>
      </w:r>
    </w:p>
    <w:p w:rsidR="00AB4CF8" w:rsidRPr="00DA3440" w:rsidRDefault="00EE2057" w:rsidP="00EE2057">
      <w:pPr>
        <w:spacing w:after="600" w:line="360" w:lineRule="auto"/>
        <w:ind w:right="-232" w:firstLine="708"/>
        <w:rPr>
          <w:b/>
        </w:rPr>
      </w:pPr>
      <w:r>
        <w:rPr>
          <w:b/>
        </w:rPr>
        <w:t>Anton ANTON</w:t>
      </w:r>
      <w:r w:rsidR="00AB4CF8">
        <w:rPr>
          <w:b/>
        </w:rPr>
        <w:tab/>
      </w:r>
      <w:r w:rsidR="00AB4CF8">
        <w:rPr>
          <w:b/>
        </w:rPr>
        <w:tab/>
      </w:r>
      <w:r w:rsidR="00AB4CF8">
        <w:rPr>
          <w:b/>
        </w:rPr>
        <w:tab/>
      </w:r>
      <w:r w:rsidR="00AB4CF8">
        <w:rPr>
          <w:b/>
        </w:rPr>
        <w:tab/>
        <w:t xml:space="preserve">                           </w:t>
      </w:r>
      <w:r w:rsidR="00AB4CF8" w:rsidRPr="00DA3440">
        <w:rPr>
          <w:b/>
        </w:rPr>
        <w:t>Grațiela Leocadia GAVRILESCU</w:t>
      </w:r>
    </w:p>
    <w:p w:rsidR="00AB4CF8" w:rsidRDefault="00AB4CF8" w:rsidP="00AB4CF8">
      <w:pPr>
        <w:spacing w:line="360" w:lineRule="auto"/>
        <w:rPr>
          <w:b/>
        </w:rPr>
      </w:pPr>
      <w:r w:rsidRPr="00DA3440">
        <w:rPr>
          <w:b/>
        </w:rPr>
        <w:tab/>
      </w:r>
      <w:r w:rsidRPr="00DA3440">
        <w:rPr>
          <w:b/>
        </w:rPr>
        <w:tab/>
      </w:r>
      <w:r w:rsidRPr="00DA3440">
        <w:rPr>
          <w:b/>
        </w:rPr>
        <w:tab/>
      </w:r>
    </w:p>
    <w:p w:rsidR="005A10FF" w:rsidRDefault="005A10FF" w:rsidP="00AB4CF8">
      <w:pPr>
        <w:spacing w:line="360" w:lineRule="auto"/>
        <w:rPr>
          <w:b/>
        </w:rPr>
      </w:pPr>
    </w:p>
    <w:p w:rsidR="00AB4CF8" w:rsidRDefault="00AB4CF8" w:rsidP="00AB4CF8">
      <w:pPr>
        <w:spacing w:line="360" w:lineRule="auto"/>
        <w:rPr>
          <w:b/>
        </w:rPr>
      </w:pPr>
    </w:p>
    <w:p w:rsidR="00AB4CF8" w:rsidRPr="00DA3440" w:rsidRDefault="00AB4CF8" w:rsidP="00AB4CF8">
      <w:pPr>
        <w:spacing w:line="360" w:lineRule="auto"/>
        <w:ind w:left="-567"/>
        <w:rPr>
          <w:b/>
        </w:rPr>
      </w:pPr>
    </w:p>
    <w:p w:rsidR="00AB4CF8" w:rsidRPr="00DA3440" w:rsidRDefault="00AB4CF8" w:rsidP="00AB4CF8">
      <w:pPr>
        <w:spacing w:after="600" w:line="360" w:lineRule="auto"/>
        <w:ind w:left="-567"/>
        <w:rPr>
          <w:b/>
        </w:rPr>
      </w:pPr>
      <w:r>
        <w:rPr>
          <w:b/>
        </w:rPr>
        <w:t xml:space="preserve">    </w:t>
      </w:r>
      <w:r w:rsidRPr="00DA3440">
        <w:rPr>
          <w:b/>
        </w:rPr>
        <w:t>MINISTRUL FINANȚELOR PUBLICE</w:t>
      </w:r>
      <w:r w:rsidRPr="00DA3440">
        <w:rPr>
          <w:b/>
        </w:rPr>
        <w:tab/>
      </w:r>
      <w:r w:rsidRPr="00DA3440">
        <w:rPr>
          <w:b/>
        </w:rPr>
        <w:tab/>
      </w:r>
      <w:r w:rsidRPr="00DA3440">
        <w:rPr>
          <w:b/>
        </w:rPr>
        <w:tab/>
      </w:r>
      <w:r>
        <w:rPr>
          <w:b/>
        </w:rPr>
        <w:t xml:space="preserve">                      MINISTRUL JUSTIȚ</w:t>
      </w:r>
      <w:r w:rsidRPr="00DA3440">
        <w:rPr>
          <w:b/>
        </w:rPr>
        <w:t>IEI</w:t>
      </w:r>
    </w:p>
    <w:p w:rsidR="00AB4CF8" w:rsidRPr="00DA3440" w:rsidRDefault="00AB4CF8" w:rsidP="00AB4CF8">
      <w:pPr>
        <w:spacing w:after="600" w:line="360" w:lineRule="auto"/>
        <w:ind w:left="-567"/>
        <w:rPr>
          <w:b/>
        </w:rPr>
      </w:pPr>
      <w:r>
        <w:rPr>
          <w:b/>
        </w:rPr>
        <w:t xml:space="preserve">           </w:t>
      </w:r>
      <w:r w:rsidRPr="00DA3440">
        <w:rPr>
          <w:b/>
        </w:rPr>
        <w:t>Eu</w:t>
      </w:r>
      <w:r>
        <w:rPr>
          <w:b/>
        </w:rPr>
        <w:t>gen Orlando TEODOROVICI</w:t>
      </w:r>
      <w:r>
        <w:rPr>
          <w:b/>
        </w:rPr>
        <w:tab/>
      </w:r>
      <w:r>
        <w:rPr>
          <w:b/>
        </w:rPr>
        <w:tab/>
      </w:r>
      <w:r>
        <w:rPr>
          <w:b/>
        </w:rPr>
        <w:tab/>
        <w:t xml:space="preserve">                                        </w:t>
      </w:r>
      <w:r w:rsidRPr="00DA3440">
        <w:rPr>
          <w:b/>
        </w:rPr>
        <w:t>Tudorel TOADER</w:t>
      </w:r>
    </w:p>
    <w:p w:rsidR="00AB4CF8" w:rsidRDefault="00AB4CF8" w:rsidP="00AB4CF8"/>
    <w:p w:rsidR="00AB4CF8" w:rsidRPr="001D024C" w:rsidRDefault="00AB4CF8" w:rsidP="00AB4CF8"/>
    <w:p w:rsidR="00AB4CF8" w:rsidRPr="00477E8B" w:rsidRDefault="00AB4CF8" w:rsidP="00AB4CF8"/>
    <w:p w:rsidR="00FE766C" w:rsidRDefault="00FE766C"/>
    <w:sectPr w:rsidR="00FE766C" w:rsidSect="00184616">
      <w:footerReference w:type="even" r:id="rId7"/>
      <w:footerReference w:type="default" r:id="rId8"/>
      <w:pgSz w:w="11909" w:h="16834" w:code="9"/>
      <w:pgMar w:top="259" w:right="562" w:bottom="259"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DA5" w:rsidRDefault="007A6DA5">
      <w:r>
        <w:separator/>
      </w:r>
    </w:p>
  </w:endnote>
  <w:endnote w:type="continuationSeparator" w:id="0">
    <w:p w:rsidR="007A6DA5" w:rsidRDefault="007A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1C0651" w:rsidP="00F32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E06" w:rsidRDefault="007A6DA5" w:rsidP="00F32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7A6DA5" w:rsidP="00F32F30">
    <w:pPr>
      <w:pStyle w:val="Footer"/>
      <w:framePr w:wrap="around" w:vAnchor="text" w:hAnchor="margin" w:xAlign="center" w:y="1"/>
      <w:ind w:right="360"/>
      <w:rPr>
        <w:rStyle w:val="PageNumber"/>
      </w:rPr>
    </w:pPr>
  </w:p>
  <w:p w:rsidR="00EF4E06" w:rsidRDefault="007A6DA5" w:rsidP="00F32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DA5" w:rsidRDefault="007A6DA5">
      <w:r>
        <w:separator/>
      </w:r>
    </w:p>
  </w:footnote>
  <w:footnote w:type="continuationSeparator" w:id="0">
    <w:p w:rsidR="007A6DA5" w:rsidRDefault="007A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40AD"/>
    <w:multiLevelType w:val="hybridMultilevel"/>
    <w:tmpl w:val="574A119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B7E69"/>
    <w:multiLevelType w:val="hybridMultilevel"/>
    <w:tmpl w:val="E3D61E36"/>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FB63AA6"/>
    <w:multiLevelType w:val="hybridMultilevel"/>
    <w:tmpl w:val="A6825BEA"/>
    <w:lvl w:ilvl="0" w:tplc="838E53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A5AA1"/>
    <w:multiLevelType w:val="hybridMultilevel"/>
    <w:tmpl w:val="34260DD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4153E"/>
    <w:multiLevelType w:val="hybridMultilevel"/>
    <w:tmpl w:val="73864E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A0B9B"/>
    <w:multiLevelType w:val="hybridMultilevel"/>
    <w:tmpl w:val="8440FD3E"/>
    <w:lvl w:ilvl="0" w:tplc="FFFFFFFF">
      <w:start w:val="3"/>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2877A0"/>
    <w:multiLevelType w:val="hybridMultilevel"/>
    <w:tmpl w:val="E4F40742"/>
    <w:lvl w:ilvl="0" w:tplc="D3088D06">
      <w:start w:val="1"/>
      <w:numFmt w:val="lowerLetter"/>
      <w:lvlText w:val="%1)"/>
      <w:lvlJc w:val="left"/>
      <w:pPr>
        <w:ind w:left="1133" w:hanging="360"/>
      </w:pPr>
      <w:rPr>
        <w:rFonts w:ascii="Times New Roman" w:eastAsia="Times New Roman" w:hAnsi="Times New Roman" w:cs="Times New Roman"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4"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10"/>
  </w:num>
  <w:num w:numId="3">
    <w:abstractNumId w:val="8"/>
  </w:num>
  <w:num w:numId="4">
    <w:abstractNumId w:val="5"/>
  </w:num>
  <w:num w:numId="5">
    <w:abstractNumId w:val="9"/>
  </w:num>
  <w:num w:numId="6">
    <w:abstractNumId w:val="1"/>
  </w:num>
  <w:num w:numId="7">
    <w:abstractNumId w:val="7"/>
  </w:num>
  <w:num w:numId="8">
    <w:abstractNumId w:val="14"/>
  </w:num>
  <w:num w:numId="9">
    <w:abstractNumId w:val="6"/>
  </w:num>
  <w:num w:numId="10">
    <w:abstractNumId w:val="13"/>
  </w:num>
  <w:num w:numId="11">
    <w:abstractNumId w:val="11"/>
  </w:num>
  <w:num w:numId="12">
    <w:abstractNumId w:val="3"/>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F8"/>
    <w:rsid w:val="00007D89"/>
    <w:rsid w:val="00084EDE"/>
    <w:rsid w:val="00130122"/>
    <w:rsid w:val="001769B2"/>
    <w:rsid w:val="001C0651"/>
    <w:rsid w:val="0021598E"/>
    <w:rsid w:val="00224402"/>
    <w:rsid w:val="00393AF7"/>
    <w:rsid w:val="003C16DA"/>
    <w:rsid w:val="003D16DB"/>
    <w:rsid w:val="00402DBD"/>
    <w:rsid w:val="0048017D"/>
    <w:rsid w:val="004D1CB8"/>
    <w:rsid w:val="005A10FF"/>
    <w:rsid w:val="00667F7A"/>
    <w:rsid w:val="006900D7"/>
    <w:rsid w:val="00733E6C"/>
    <w:rsid w:val="007A6DA5"/>
    <w:rsid w:val="008265F5"/>
    <w:rsid w:val="00890A66"/>
    <w:rsid w:val="00995D5D"/>
    <w:rsid w:val="009C4AD8"/>
    <w:rsid w:val="009D2C19"/>
    <w:rsid w:val="009E7560"/>
    <w:rsid w:val="00A34725"/>
    <w:rsid w:val="00AB4CF8"/>
    <w:rsid w:val="00B217A6"/>
    <w:rsid w:val="00B65135"/>
    <w:rsid w:val="00B82F9A"/>
    <w:rsid w:val="00BD257F"/>
    <w:rsid w:val="00BD631D"/>
    <w:rsid w:val="00CC044B"/>
    <w:rsid w:val="00CF2EB0"/>
    <w:rsid w:val="00D270F2"/>
    <w:rsid w:val="00DA09BC"/>
    <w:rsid w:val="00EE2057"/>
    <w:rsid w:val="00F10E70"/>
    <w:rsid w:val="00F44297"/>
    <w:rsid w:val="00F55979"/>
    <w:rsid w:val="00FB1D13"/>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A569"/>
  <w15:chartTrackingRefBased/>
  <w15:docId w15:val="{8C91FC3F-E4A0-401E-A863-B67A1D0B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CF8"/>
    <w:pPr>
      <w:spacing w:after="120"/>
      <w:ind w:left="283"/>
    </w:pPr>
  </w:style>
  <w:style w:type="character" w:customStyle="1" w:styleId="BodyTextIndentChar">
    <w:name w:val="Body Text Indent Char"/>
    <w:basedOn w:val="DefaultParagraphFont"/>
    <w:link w:val="BodyTextIndent"/>
    <w:rsid w:val="00AB4CF8"/>
    <w:rPr>
      <w:rFonts w:ascii="Times New Roman" w:eastAsia="Times New Roman" w:hAnsi="Times New Roman" w:cs="Times New Roman"/>
      <w:sz w:val="24"/>
      <w:szCs w:val="24"/>
    </w:rPr>
  </w:style>
  <w:style w:type="paragraph" w:styleId="Footer">
    <w:name w:val="footer"/>
    <w:basedOn w:val="Normal"/>
    <w:link w:val="FooterChar"/>
    <w:rsid w:val="00AB4CF8"/>
    <w:pPr>
      <w:tabs>
        <w:tab w:val="center" w:pos="4320"/>
        <w:tab w:val="right" w:pos="8640"/>
      </w:tabs>
    </w:pPr>
  </w:style>
  <w:style w:type="character" w:customStyle="1" w:styleId="FooterChar">
    <w:name w:val="Footer Char"/>
    <w:basedOn w:val="DefaultParagraphFont"/>
    <w:link w:val="Footer"/>
    <w:rsid w:val="00AB4CF8"/>
    <w:rPr>
      <w:rFonts w:ascii="Times New Roman" w:eastAsia="Times New Roman" w:hAnsi="Times New Roman" w:cs="Times New Roman"/>
      <w:sz w:val="24"/>
      <w:szCs w:val="24"/>
    </w:rPr>
  </w:style>
  <w:style w:type="character" w:styleId="PageNumber">
    <w:name w:val="page number"/>
    <w:basedOn w:val="DefaultParagraphFont"/>
    <w:rsid w:val="00AB4CF8"/>
  </w:style>
  <w:style w:type="paragraph" w:styleId="ListParagraph">
    <w:name w:val="List Paragraph"/>
    <w:basedOn w:val="Normal"/>
    <w:uiPriority w:val="34"/>
    <w:qFormat/>
    <w:rsid w:val="00AB4CF8"/>
    <w:pPr>
      <w:ind w:left="720"/>
      <w:contextualSpacing/>
    </w:pPr>
  </w:style>
  <w:style w:type="paragraph" w:styleId="BodyText3">
    <w:name w:val="Body Text 3"/>
    <w:basedOn w:val="Normal"/>
    <w:link w:val="BodyText3Char"/>
    <w:uiPriority w:val="99"/>
    <w:semiHidden/>
    <w:unhideWhenUsed/>
    <w:rsid w:val="00AB4CF8"/>
    <w:pPr>
      <w:spacing w:after="120"/>
    </w:pPr>
    <w:rPr>
      <w:sz w:val="16"/>
      <w:szCs w:val="16"/>
    </w:rPr>
  </w:style>
  <w:style w:type="character" w:customStyle="1" w:styleId="BodyText3Char">
    <w:name w:val="Body Text 3 Char"/>
    <w:basedOn w:val="DefaultParagraphFont"/>
    <w:link w:val="BodyText3"/>
    <w:uiPriority w:val="99"/>
    <w:semiHidden/>
    <w:rsid w:val="00AB4CF8"/>
    <w:rPr>
      <w:rFonts w:ascii="Times New Roman" w:eastAsia="Times New Roman" w:hAnsi="Times New Roman" w:cs="Times New Roman"/>
      <w:sz w:val="16"/>
      <w:szCs w:val="16"/>
    </w:rPr>
  </w:style>
  <w:style w:type="paragraph" w:styleId="NoSpacing">
    <w:name w:val="No Spacing"/>
    <w:link w:val="NoSpacingChar"/>
    <w:uiPriority w:val="99"/>
    <w:qFormat/>
    <w:rsid w:val="00AB4CF8"/>
    <w:pPr>
      <w:spacing w:after="0" w:line="240" w:lineRule="auto"/>
    </w:pPr>
    <w:rPr>
      <w:rFonts w:ascii="Calibri" w:eastAsia="Calibri" w:hAnsi="Calibri" w:cs="Times New Roman"/>
      <w:lang w:val="en-US"/>
    </w:rPr>
  </w:style>
  <w:style w:type="character" w:customStyle="1" w:styleId="NoSpacingChar">
    <w:name w:val="No Spacing Char"/>
    <w:link w:val="NoSpacing"/>
    <w:uiPriority w:val="99"/>
    <w:locked/>
    <w:rsid w:val="00AB4CF8"/>
    <w:rPr>
      <w:rFonts w:ascii="Calibri" w:eastAsia="Calibri" w:hAnsi="Calibri" w:cs="Times New Roman"/>
      <w:lang w:val="en-US"/>
    </w:rPr>
  </w:style>
  <w:style w:type="paragraph" w:styleId="BalloonText">
    <w:name w:val="Balloon Text"/>
    <w:basedOn w:val="Normal"/>
    <w:link w:val="BalloonTextChar"/>
    <w:uiPriority w:val="99"/>
    <w:semiHidden/>
    <w:unhideWhenUsed/>
    <w:rsid w:val="00224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Pages>
  <Words>2820</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2018-10-29T10:12:00Z</cp:lastPrinted>
  <dcterms:created xsi:type="dcterms:W3CDTF">2018-10-24T13:51:00Z</dcterms:created>
  <dcterms:modified xsi:type="dcterms:W3CDTF">2018-10-29T14:21:00Z</dcterms:modified>
</cp:coreProperties>
</file>