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F7" w:rsidRDefault="00E47FF7" w:rsidP="00E47FF7">
      <w:pPr>
        <w:pStyle w:val="Caption"/>
        <w:rPr>
          <w:rFonts w:ascii="Times New Roman" w:hAnsi="Times New Roman" w:cs="Times New Roman"/>
          <w:lang w:val="ro-RO"/>
        </w:rPr>
      </w:pPr>
      <w:r w:rsidRPr="00804D34">
        <w:rPr>
          <w:rFonts w:ascii="Times New Roman" w:hAnsi="Times New Roman" w:cs="Times New Roman"/>
          <w:lang w:val="ro-RO"/>
        </w:rPr>
        <w:t xml:space="preserve">MINISTERUL </w:t>
      </w:r>
      <w:r>
        <w:rPr>
          <w:rFonts w:ascii="Times New Roman" w:hAnsi="Times New Roman" w:cs="Times New Roman"/>
          <w:lang w:val="ro-RO"/>
        </w:rPr>
        <w:t>APELOR ŞI PĂDURILOR</w:t>
      </w:r>
      <w:r w:rsidRPr="00804D34">
        <w:rPr>
          <w:rFonts w:ascii="Times New Roman" w:hAnsi="Times New Roman" w:cs="Times New Roman"/>
          <w:lang w:val="ro-RO"/>
        </w:rPr>
        <w:t xml:space="preserve"> </w:t>
      </w:r>
    </w:p>
    <w:p w:rsidR="00E47FF7" w:rsidRDefault="00E47FF7" w:rsidP="00E47FF7">
      <w:pPr>
        <w:pStyle w:val="Heading3"/>
        <w:tabs>
          <w:tab w:val="left" w:pos="8360"/>
        </w:tabs>
        <w:jc w:val="left"/>
        <w:rPr>
          <w:rFonts w:ascii="Times New Roman" w:hAnsi="Times New Roman"/>
          <w:bCs/>
          <w:i w:val="0"/>
          <w:sz w:val="24"/>
          <w:lang w:val="ro-RO"/>
        </w:rPr>
      </w:pPr>
      <w:r>
        <w:rPr>
          <w:rFonts w:ascii="Times New Roman" w:hAnsi="Times New Roman"/>
          <w:bCs/>
          <w:i w:val="0"/>
          <w:sz w:val="24"/>
          <w:lang w:val="ro-RO"/>
        </w:rPr>
        <w:t>DIRECŢIA POLITICI ŞI</w:t>
      </w:r>
      <w:r w:rsidRPr="007353BA">
        <w:rPr>
          <w:rFonts w:ascii="Times New Roman" w:hAnsi="Times New Roman"/>
          <w:bCs/>
          <w:i w:val="0"/>
          <w:sz w:val="24"/>
          <w:lang w:val="ro-RO"/>
        </w:rPr>
        <w:t xml:space="preserve"> STRATEGII </w:t>
      </w:r>
      <w:r>
        <w:rPr>
          <w:rFonts w:ascii="Times New Roman" w:hAnsi="Times New Roman"/>
          <w:bCs/>
          <w:i w:val="0"/>
          <w:sz w:val="24"/>
          <w:lang w:val="ro-RO"/>
        </w:rPr>
        <w:t>ÎN SILVICULTURĂ</w:t>
      </w:r>
    </w:p>
    <w:p w:rsidR="00E47FF7" w:rsidRPr="00015470" w:rsidRDefault="00E47FF7" w:rsidP="00E47FF7">
      <w:pPr>
        <w:pStyle w:val="Heading3"/>
        <w:tabs>
          <w:tab w:val="left" w:pos="8360"/>
        </w:tabs>
        <w:jc w:val="left"/>
        <w:rPr>
          <w:rFonts w:ascii="Times New Roman" w:hAnsi="Times New Roman"/>
          <w:bCs/>
          <w:i w:val="0"/>
          <w:sz w:val="24"/>
          <w:lang w:val="ro-RO"/>
        </w:rPr>
      </w:pPr>
      <w:r w:rsidRPr="00015470">
        <w:rPr>
          <w:rFonts w:ascii="Times New Roman" w:hAnsi="Times New Roman"/>
          <w:bCs/>
          <w:i w:val="0"/>
          <w:sz w:val="24"/>
          <w:lang w:val="ro-RO"/>
        </w:rPr>
        <w:t>Nr</w:t>
      </w:r>
      <w:r w:rsidRPr="0028292E">
        <w:rPr>
          <w:rFonts w:ascii="Times New Roman" w:hAnsi="Times New Roman"/>
          <w:bCs/>
          <w:i w:val="0"/>
          <w:sz w:val="24"/>
          <w:lang w:val="ro-RO"/>
        </w:rPr>
        <w:t>. .............../....</w:t>
      </w:r>
      <w:r>
        <w:rPr>
          <w:rFonts w:ascii="Times New Roman" w:hAnsi="Times New Roman"/>
          <w:bCs/>
          <w:i w:val="0"/>
          <w:sz w:val="24"/>
          <w:lang w:val="ro-RO"/>
        </w:rPr>
        <w:t>......</w:t>
      </w:r>
      <w:r w:rsidRPr="0028292E">
        <w:rPr>
          <w:rFonts w:ascii="Times New Roman" w:hAnsi="Times New Roman"/>
          <w:bCs/>
          <w:i w:val="0"/>
          <w:sz w:val="24"/>
          <w:lang w:val="ro-RO"/>
        </w:rPr>
        <w:t>.2018</w:t>
      </w:r>
      <w:r w:rsidRPr="00015470">
        <w:rPr>
          <w:rFonts w:ascii="Times New Roman" w:hAnsi="Times New Roman"/>
          <w:bCs/>
          <w:i w:val="0"/>
          <w:sz w:val="24"/>
          <w:lang w:val="ro-RO"/>
        </w:rPr>
        <w:t xml:space="preserve">                              </w:t>
      </w:r>
      <w:r w:rsidRPr="00015470">
        <w:rPr>
          <w:rFonts w:ascii="Times New Roman" w:hAnsi="Times New Roman"/>
          <w:bCs/>
          <w:i w:val="0"/>
          <w:sz w:val="24"/>
          <w:lang w:val="ro-RO"/>
        </w:rPr>
        <w:tab/>
      </w:r>
    </w:p>
    <w:p w:rsidR="00E47FF7" w:rsidRPr="00804D34" w:rsidRDefault="00E47FF7" w:rsidP="00E47FF7">
      <w:pPr>
        <w:rPr>
          <w:lang w:val="ro-RO"/>
        </w:rPr>
      </w:pPr>
    </w:p>
    <w:p w:rsidR="00E47FF7" w:rsidRPr="00804D34" w:rsidRDefault="00E47FF7" w:rsidP="00E47FF7">
      <w:pPr>
        <w:rPr>
          <w:lang w:val="ro-RO"/>
        </w:rPr>
      </w:pPr>
    </w:p>
    <w:p w:rsidR="00E47FF7" w:rsidRDefault="00E47FF7" w:rsidP="00E47FF7">
      <w:pPr>
        <w:pStyle w:val="Heading3"/>
        <w:ind w:left="6120"/>
        <w:rPr>
          <w:rFonts w:ascii="Times New Roman" w:hAnsi="Times New Roman"/>
          <w:sz w:val="24"/>
          <w:lang w:val="ro-RO"/>
        </w:rPr>
      </w:pPr>
      <w:r>
        <w:rPr>
          <w:rFonts w:ascii="Times New Roman" w:hAnsi="Times New Roman"/>
          <w:sz w:val="24"/>
          <w:lang w:val="ro-RO"/>
        </w:rPr>
        <w:t xml:space="preserve">               SE APROBĂ,</w:t>
      </w:r>
    </w:p>
    <w:p w:rsidR="00E47FF7" w:rsidRDefault="00E47FF7" w:rsidP="00E47FF7">
      <w:pPr>
        <w:jc w:val="right"/>
        <w:rPr>
          <w:lang w:val="ro-RO"/>
        </w:rPr>
      </w:pPr>
    </w:p>
    <w:p w:rsidR="00E47FF7" w:rsidRPr="00E26F6D" w:rsidRDefault="00E47FF7" w:rsidP="00E47FF7">
      <w:pPr>
        <w:ind w:left="5040"/>
        <w:jc w:val="right"/>
        <w:rPr>
          <w:b/>
          <w:lang w:val="ro-RO"/>
        </w:rPr>
      </w:pPr>
      <w:r w:rsidRPr="00E26F6D">
        <w:rPr>
          <w:b/>
          <w:lang w:val="ro-RO"/>
        </w:rPr>
        <w:t xml:space="preserve">    DIRECTOR GENERAL </w:t>
      </w:r>
    </w:p>
    <w:p w:rsidR="00E47FF7" w:rsidRPr="00E26F6D" w:rsidRDefault="00E47FF7" w:rsidP="00E47FF7">
      <w:pPr>
        <w:ind w:left="6120"/>
        <w:jc w:val="both"/>
        <w:rPr>
          <w:b/>
          <w:lang w:val="ro-RO"/>
        </w:rPr>
      </w:pPr>
    </w:p>
    <w:p w:rsidR="00E47FF7" w:rsidRDefault="00E47FF7" w:rsidP="00E47FF7">
      <w:pPr>
        <w:ind w:left="6120"/>
        <w:jc w:val="both"/>
        <w:rPr>
          <w:lang w:val="ro-RO"/>
        </w:rPr>
      </w:pPr>
      <w:r w:rsidRPr="00E26F6D">
        <w:rPr>
          <w:b/>
          <w:lang w:val="ro-RO"/>
        </w:rPr>
        <w:t xml:space="preserve">                      Ilie MIHALACHE</w:t>
      </w:r>
    </w:p>
    <w:p w:rsidR="00E47FF7" w:rsidRDefault="00E47FF7" w:rsidP="00E47FF7">
      <w:pPr>
        <w:ind w:left="6120"/>
        <w:jc w:val="center"/>
        <w:rPr>
          <w:lang w:val="ro-RO"/>
        </w:rPr>
      </w:pPr>
      <w:r w:rsidRPr="00804D34">
        <w:rPr>
          <w:lang w:val="ro-RO"/>
        </w:rPr>
        <w:t xml:space="preserve">  </w:t>
      </w:r>
    </w:p>
    <w:p w:rsidR="00E47FF7" w:rsidRPr="00804D34" w:rsidRDefault="00E47FF7" w:rsidP="00E47FF7">
      <w:pPr>
        <w:rPr>
          <w:lang w:val="ro-RO"/>
        </w:rPr>
      </w:pPr>
    </w:p>
    <w:p w:rsidR="00E47FF7" w:rsidRPr="00804D34" w:rsidRDefault="00E47FF7" w:rsidP="00E47FF7">
      <w:pPr>
        <w:rPr>
          <w:lang w:val="ro-RO"/>
        </w:rPr>
      </w:pPr>
    </w:p>
    <w:p w:rsidR="00E47FF7" w:rsidRPr="00804D34" w:rsidRDefault="00E47FF7" w:rsidP="00E47FF7">
      <w:pPr>
        <w:pStyle w:val="Heading5"/>
        <w:rPr>
          <w:rFonts w:ascii="Times New Roman" w:hAnsi="Times New Roman" w:cs="Times New Roman"/>
          <w:b w:val="0"/>
          <w:bCs w:val="0"/>
          <w:sz w:val="24"/>
          <w:lang w:val="ro-RO"/>
        </w:rPr>
      </w:pPr>
      <w:r w:rsidRPr="00804D34">
        <w:rPr>
          <w:rFonts w:ascii="Times New Roman" w:hAnsi="Times New Roman" w:cs="Times New Roman"/>
          <w:sz w:val="24"/>
          <w:lang w:val="ro-RO"/>
        </w:rPr>
        <w:t>REFERAT DE APROBARE</w:t>
      </w:r>
    </w:p>
    <w:p w:rsidR="00E47FF7" w:rsidRDefault="00E47FF7" w:rsidP="00E47FF7">
      <w:pPr>
        <w:ind w:left="540"/>
        <w:rPr>
          <w:b/>
          <w:bCs/>
          <w:lang w:val="ro-RO"/>
        </w:rPr>
      </w:pPr>
    </w:p>
    <w:p w:rsidR="00E47FF7" w:rsidRPr="00804D34" w:rsidRDefault="00E47FF7" w:rsidP="00E47FF7">
      <w:pPr>
        <w:ind w:left="540"/>
        <w:rPr>
          <w:b/>
          <w:bCs/>
          <w:lang w:val="ro-RO"/>
        </w:rPr>
      </w:pPr>
    </w:p>
    <w:p w:rsidR="00E47FF7" w:rsidRDefault="00E47FF7" w:rsidP="00E47FF7">
      <w:pPr>
        <w:ind w:firstLine="142"/>
        <w:jc w:val="both"/>
        <w:rPr>
          <w:bCs/>
        </w:rPr>
      </w:pPr>
      <w:r>
        <w:rPr>
          <w:lang w:val="ro-RO"/>
        </w:rPr>
        <w:t xml:space="preserve">           A</w:t>
      </w:r>
      <w:r w:rsidRPr="00E47FF7">
        <w:rPr>
          <w:lang w:val="ro-RO"/>
        </w:rPr>
        <w:t>rt</w:t>
      </w:r>
      <w:r w:rsidR="00331C01">
        <w:rPr>
          <w:lang w:val="ro-RO"/>
        </w:rPr>
        <w:t xml:space="preserve">icolul </w:t>
      </w:r>
      <w:r w:rsidRPr="00E47FF7">
        <w:rPr>
          <w:lang w:val="ro-RO"/>
        </w:rPr>
        <w:t xml:space="preserve"> </w:t>
      </w:r>
      <w:r w:rsidRPr="00E47FF7">
        <w:rPr>
          <w:iCs/>
        </w:rPr>
        <w:t>62 alin</w:t>
      </w:r>
      <w:r w:rsidR="00331C01">
        <w:rPr>
          <w:iCs/>
        </w:rPr>
        <w:t>eatul</w:t>
      </w:r>
      <w:r w:rsidRPr="00E47FF7">
        <w:rPr>
          <w:iCs/>
        </w:rPr>
        <w:t xml:space="preserve"> (5) din Legea nr. 46/2008 – Codul silvic, republicată, cu modificările și completările ulterioare  </w:t>
      </w:r>
      <w:r>
        <w:rPr>
          <w:lang w:val="ro-RO"/>
        </w:rPr>
        <w:t xml:space="preserve">reprezintă temeiul legal pentru emiterea </w:t>
      </w:r>
      <w:r w:rsidR="00331C01">
        <w:rPr>
          <w:lang w:val="ro-RO"/>
        </w:rPr>
        <w:t xml:space="preserve">ordinului de aprobare a </w:t>
      </w:r>
      <w:r w:rsidRPr="00E47FF7">
        <w:rPr>
          <w:bCs/>
        </w:rPr>
        <w:t>Regulamentul</w:t>
      </w:r>
      <w:r w:rsidR="00331C01">
        <w:rPr>
          <w:bCs/>
        </w:rPr>
        <w:t>ui</w:t>
      </w:r>
      <w:r w:rsidRPr="00E47FF7">
        <w:rPr>
          <w:bCs/>
        </w:rPr>
        <w:t xml:space="preserve"> privind organizarea, funcţionarea şi componenţa Comisiei de atestare a operatorilor economici pentru activitatea de exploatare forestieră, precum şi criteriile de atestare pentru activitatea de exploatare forestieră</w:t>
      </w:r>
      <w:r w:rsidR="00331C01">
        <w:rPr>
          <w:bCs/>
        </w:rPr>
        <w:t>.</w:t>
      </w:r>
    </w:p>
    <w:p w:rsidR="00331C01" w:rsidRDefault="00331C01" w:rsidP="00E47FF7">
      <w:pPr>
        <w:ind w:firstLine="142"/>
        <w:jc w:val="both"/>
      </w:pPr>
      <w:r>
        <w:t xml:space="preserve">          Prezentul regulament stabilește modul de organizare, funcționare și componența Comisiei de atestare </w:t>
      </w:r>
      <w:proofErr w:type="gramStart"/>
      <w:r>
        <w:t>a</w:t>
      </w:r>
      <w:proofErr w:type="gramEnd"/>
      <w:r>
        <w:t xml:space="preserve"> operatorilor economici pentru activitatea de exploatare forestieră, precum și criteriile de atestare pentru activitatea de exploatare forestieră.</w:t>
      </w:r>
    </w:p>
    <w:p w:rsidR="00331C01" w:rsidRDefault="00331C01" w:rsidP="00331C01">
      <w:pPr>
        <w:ind w:firstLine="720"/>
        <w:jc w:val="both"/>
      </w:pPr>
      <w:r>
        <w:t xml:space="preserve">Comisia de atestare </w:t>
      </w:r>
      <w:proofErr w:type="gramStart"/>
      <w:r>
        <w:t>a</w:t>
      </w:r>
      <w:proofErr w:type="gramEnd"/>
      <w:r>
        <w:t xml:space="preserve"> operatorilor economici pentru activitatea de exploatare forestieră, denumită în continuare Comisie, funcționează în cadrul Asociației Patronale a Forestierilor din România, denumită în continuare ASFOR.</w:t>
      </w:r>
    </w:p>
    <w:p w:rsidR="00331C01" w:rsidRDefault="00331C01" w:rsidP="00331C01">
      <w:pPr>
        <w:ind w:firstLine="720"/>
        <w:jc w:val="both"/>
      </w:pPr>
      <w:r>
        <w:t xml:space="preserve">Obținerea certificatului de atestare emis de către Comisie </w:t>
      </w:r>
      <w:proofErr w:type="gramStart"/>
      <w:r>
        <w:t>este</w:t>
      </w:r>
      <w:proofErr w:type="gramEnd"/>
      <w:r>
        <w:t xml:space="preserve"> obligatorie pentru operatorii economici care desfășoară activitatea de exploatare forestieră.</w:t>
      </w:r>
    </w:p>
    <w:p w:rsidR="00331C01" w:rsidRDefault="00331C01" w:rsidP="00331C01">
      <w:pPr>
        <w:ind w:firstLine="720"/>
        <w:jc w:val="both"/>
      </w:pPr>
      <w:r>
        <w:t xml:space="preserve">Certificatul de atestare dă dreptul operatorilor economici care l-au obținut </w:t>
      </w:r>
      <w:proofErr w:type="gramStart"/>
      <w:r>
        <w:t>să</w:t>
      </w:r>
      <w:proofErr w:type="gramEnd"/>
      <w:r>
        <w:t xml:space="preserve"> desfășoare activități de exploatare a masei lemnoase din fondul forestier național și din vegetația forestieră de pe terenuri din afara fondului forestier national.</w:t>
      </w:r>
    </w:p>
    <w:p w:rsidR="00331C01" w:rsidRDefault="00331C01" w:rsidP="00331C01">
      <w:pPr>
        <w:ind w:firstLine="720"/>
        <w:jc w:val="both"/>
      </w:pPr>
      <w:r>
        <w:t xml:space="preserve">Comisia de atestare </w:t>
      </w:r>
      <w:proofErr w:type="gramStart"/>
      <w:r>
        <w:t>este</w:t>
      </w:r>
      <w:proofErr w:type="gramEnd"/>
      <w:r>
        <w:t xml:space="preserve"> compusă din 11 membri, inclusiv președintele și vicepreședintele, care au drept de vot.</w:t>
      </w:r>
    </w:p>
    <w:p w:rsidR="00331C01" w:rsidRDefault="00331C01" w:rsidP="00331C01">
      <w:pPr>
        <w:ind w:firstLine="720"/>
        <w:jc w:val="both"/>
      </w:pPr>
      <w:r w:rsidRPr="00276828">
        <w:t xml:space="preserve">Secretariatul Comisiei </w:t>
      </w:r>
      <w:proofErr w:type="gramStart"/>
      <w:r w:rsidRPr="00276828">
        <w:t>este</w:t>
      </w:r>
      <w:proofErr w:type="gramEnd"/>
      <w:r w:rsidRPr="00276828">
        <w:t xml:space="preserve"> format din 7 persoane din care un consilier juridic din partea autorităţii publice centrale care răspunde de</w:t>
      </w:r>
      <w:r>
        <w:t xml:space="preserve"> silvicultură.</w:t>
      </w:r>
    </w:p>
    <w:p w:rsidR="00331C01" w:rsidRDefault="00331C01" w:rsidP="00E47FF7">
      <w:pPr>
        <w:ind w:firstLine="142"/>
        <w:jc w:val="both"/>
      </w:pPr>
      <w:r>
        <w:t xml:space="preserve">           ASFOR asigură, în condițiile legii, susținerea financiară și spațiul pentru desfășurarea activității Comisiei, în baza încasărilor din tariful de atestare/reatestare/revizuire.</w:t>
      </w:r>
    </w:p>
    <w:p w:rsidR="00036A2B" w:rsidRDefault="00036A2B" w:rsidP="00036A2B">
      <w:pPr>
        <w:ind w:firstLine="720"/>
        <w:jc w:val="both"/>
      </w:pPr>
      <w:r>
        <w:t xml:space="preserve">În vederea obținerii certificatului de atestare, operatorul economic are obligația de a depune la secretariatul Comisiei </w:t>
      </w:r>
      <w:proofErr w:type="gramStart"/>
      <w:r>
        <w:t>un</w:t>
      </w:r>
      <w:proofErr w:type="gramEnd"/>
      <w:r>
        <w:t xml:space="preserve"> dosar care trebuie să conțină următoarele documente:</w:t>
      </w:r>
      <w:r>
        <w:tab/>
      </w:r>
    </w:p>
    <w:p w:rsidR="00036A2B" w:rsidRDefault="00036A2B" w:rsidP="00036A2B">
      <w:pPr>
        <w:ind w:left="567"/>
        <w:jc w:val="both"/>
      </w:pPr>
      <w:r>
        <w:t xml:space="preserve">a) </w:t>
      </w:r>
      <w:proofErr w:type="gramStart"/>
      <w:r>
        <w:t>cererea</w:t>
      </w:r>
      <w:proofErr w:type="gramEnd"/>
      <w:r>
        <w:t xml:space="preserve"> de atestare, al cărei model este prevăzut în anexa nr. 3 și care primește număr de înregistrare din registrul Comisiei;</w:t>
      </w:r>
      <w:r>
        <w:tab/>
      </w:r>
      <w:r>
        <w:tab/>
      </w:r>
    </w:p>
    <w:p w:rsidR="00036A2B" w:rsidRDefault="00036A2B" w:rsidP="00036A2B">
      <w:pPr>
        <w:ind w:left="567"/>
        <w:jc w:val="both"/>
      </w:pPr>
      <w:r>
        <w:t xml:space="preserve">b) </w:t>
      </w:r>
      <w:proofErr w:type="gramStart"/>
      <w:r>
        <w:t>copie</w:t>
      </w:r>
      <w:proofErr w:type="gramEnd"/>
      <w:r>
        <w:t xml:space="preserve"> de pe statutul sau actul constitutiv, din care să rezulte că operatorul economic are ca obiect de activitate exploatarea forestieră, certificat sub semnătură şi ştampilă de către reprezentantul legal;</w:t>
      </w:r>
      <w:r>
        <w:tab/>
      </w:r>
    </w:p>
    <w:p w:rsidR="00036A2B" w:rsidRDefault="00036A2B" w:rsidP="00036A2B">
      <w:pPr>
        <w:ind w:left="567"/>
        <w:jc w:val="both"/>
      </w:pPr>
      <w:r>
        <w:t xml:space="preserve">c) </w:t>
      </w:r>
      <w:proofErr w:type="gramStart"/>
      <w:r>
        <w:t>copie</w:t>
      </w:r>
      <w:proofErr w:type="gramEnd"/>
      <w:r>
        <w:t xml:space="preserve"> de pe încheierea judecătorului delegat sau, după caz, hotărârea judecătorească definitivă sau rezoluția conducătorului Oficiului Naţional al Registrului Comerțului competent teritorial </w:t>
      </w:r>
      <w:bookmarkStart w:id="0" w:name="__DdeLink__900_874504185"/>
      <w:r>
        <w:t>privind înregistrarea operatorului economic</w:t>
      </w:r>
      <w:bookmarkEnd w:id="0"/>
      <w:r>
        <w:t>, certificată sub semnătură;</w:t>
      </w:r>
      <w:r>
        <w:tab/>
      </w:r>
    </w:p>
    <w:p w:rsidR="00036A2B" w:rsidRDefault="00036A2B" w:rsidP="00036A2B">
      <w:pPr>
        <w:ind w:left="567"/>
        <w:jc w:val="both"/>
      </w:pPr>
      <w:r>
        <w:t>d) copie de pe certificatul de înregistrare la Oficiul Naţional al Registrului Comerțului sau în Registrul Asociațiilor și Fundațiilor, sau în Registrul Naţional al Administratorilor de Păduri şi al Ocoalelor Silvice, certificată sub semnătură;</w:t>
      </w:r>
      <w:r>
        <w:tab/>
      </w:r>
    </w:p>
    <w:p w:rsidR="00036A2B" w:rsidRDefault="00036A2B" w:rsidP="00036A2B">
      <w:pPr>
        <w:ind w:left="567"/>
        <w:jc w:val="both"/>
      </w:pPr>
      <w:r>
        <w:t>e) copie după documentele care dovedesc asigurarea cu personal de specialitate pentru coordonarea tehnică a activității de exploatare forestieră, angajat pe durata nedeterminată, certificată sub semnătură, copia contractului individual de muncă înregistrat în registrul de evidență al operatorului economic respectiv și copie a raportului per salariat listat din REVISAL, certificată sub semnătură;</w:t>
      </w:r>
      <w:r>
        <w:tab/>
      </w:r>
    </w:p>
    <w:p w:rsidR="00036A2B" w:rsidRDefault="00036A2B" w:rsidP="00036A2B">
      <w:pPr>
        <w:ind w:left="567"/>
        <w:jc w:val="both"/>
      </w:pPr>
      <w:r>
        <w:lastRenderedPageBreak/>
        <w:t xml:space="preserve">f) </w:t>
      </w:r>
      <w:proofErr w:type="gramStart"/>
      <w:r>
        <w:t>copie</w:t>
      </w:r>
      <w:proofErr w:type="gramEnd"/>
      <w:r>
        <w:t xml:space="preserve"> după diplomele de absolvire/licență ale personalului de specialitate pentru coordonarea tehnică a activității de exploatare forestieră, certificată sub semnătură;</w:t>
      </w:r>
    </w:p>
    <w:p w:rsidR="00036A2B" w:rsidRPr="00276828" w:rsidRDefault="00036A2B" w:rsidP="00036A2B">
      <w:pPr>
        <w:ind w:left="567"/>
        <w:jc w:val="both"/>
      </w:pPr>
      <w:r>
        <w:t xml:space="preserve">g) </w:t>
      </w:r>
      <w:r w:rsidRPr="00276828">
        <w:t>dovada asigurării cu utilaje specifice activității de exploatare forestieră se face cu certificate eliberate de unitatea administrativ-teritorială, care se vor depune în original; operatorul economic trebuie să facă dovada deținerii de utilaje pentru exploatarea unui volum anual de minimum 2.500 m3, fotografie relevantă d</w:t>
      </w:r>
      <w:r>
        <w:t>i</w:t>
      </w:r>
      <w:r w:rsidRPr="00276828">
        <w:t>sti</w:t>
      </w:r>
      <w:r>
        <w:t>n</w:t>
      </w:r>
      <w:r w:rsidRPr="00276828">
        <w:t>c</w:t>
      </w:r>
      <w:r>
        <w:t>t</w:t>
      </w:r>
      <w:r w:rsidRPr="00276828">
        <w:t xml:space="preserve"> pentru fiecare utilaj. </w:t>
      </w:r>
    </w:p>
    <w:p w:rsidR="00036A2B" w:rsidRDefault="00036A2B" w:rsidP="00036A2B">
      <w:pPr>
        <w:ind w:left="567"/>
        <w:jc w:val="both"/>
      </w:pPr>
      <w:r w:rsidRPr="00276828">
        <w:t xml:space="preserve">h) </w:t>
      </w:r>
      <w:proofErr w:type="gramStart"/>
      <w:r w:rsidRPr="00276828">
        <w:t>cazierul</w:t>
      </w:r>
      <w:proofErr w:type="gramEnd"/>
      <w:r w:rsidRPr="00276828">
        <w:t xml:space="preserve"> judiciar</w:t>
      </w:r>
      <w:r>
        <w:t>, în original,</w:t>
      </w:r>
      <w:r w:rsidRPr="00276828">
        <w:t xml:space="preserve"> pentru administratorul/administratorii operatorului economic, din care să rezulte că nu a fost condamnat</w:t>
      </w:r>
      <w:r>
        <w:t>/condamnaţi</w:t>
      </w:r>
      <w:r w:rsidRPr="00276828">
        <w:t xml:space="preserve"> pentru fapte privind încălcarea regimului silvic;</w:t>
      </w:r>
    </w:p>
    <w:p w:rsidR="00036A2B" w:rsidRDefault="00036A2B" w:rsidP="00036A2B">
      <w:pPr>
        <w:ind w:left="567"/>
        <w:jc w:val="both"/>
      </w:pPr>
      <w:r>
        <w:t xml:space="preserve">i) </w:t>
      </w:r>
      <w:proofErr w:type="gramStart"/>
      <w:r>
        <w:t>documentul</w:t>
      </w:r>
      <w:proofErr w:type="gramEnd"/>
      <w:r>
        <w:t>, în copie, care dovedește achitarea tarifului stabilit pentru atestare, potrivit prevederilor art. 11 alin. (3).</w:t>
      </w:r>
    </w:p>
    <w:p w:rsidR="00036A2B" w:rsidRDefault="00036A2B" w:rsidP="00036A2B">
      <w:pPr>
        <w:ind w:firstLine="567"/>
        <w:jc w:val="both"/>
      </w:pPr>
      <w:r>
        <w:t xml:space="preserve">Personalul de specialitate angajat în cadrul operatorului economic poate fi maistru exploatări forestiere, tehnician, subinginer sau inginer în domeniul silviculturii sau </w:t>
      </w:r>
      <w:proofErr w:type="gramStart"/>
      <w:r>
        <w:t>a</w:t>
      </w:r>
      <w:proofErr w:type="gramEnd"/>
      <w:r>
        <w:t xml:space="preserve"> exploatărilor forestiere.</w:t>
      </w:r>
    </w:p>
    <w:p w:rsidR="00036A2B" w:rsidRDefault="00036A2B" w:rsidP="00036A2B">
      <w:pPr>
        <w:ind w:firstLine="567"/>
        <w:jc w:val="both"/>
      </w:pPr>
      <w:r>
        <w:t xml:space="preserve">În cazul persoanelor cu studii medii sau superioare de specialitate în domeniul silviculturii care au calitatea de asociat sau administrator în cadrul operatorului economic care solicită atestarea, nu </w:t>
      </w:r>
      <w:proofErr w:type="gramStart"/>
      <w:r>
        <w:t>este</w:t>
      </w:r>
      <w:proofErr w:type="gramEnd"/>
      <w:r>
        <w:t xml:space="preserve"> necesară angajarea cu contract de muncă.</w:t>
      </w:r>
    </w:p>
    <w:p w:rsidR="00036A2B" w:rsidRDefault="00036A2B" w:rsidP="00036A2B">
      <w:pPr>
        <w:ind w:firstLine="567"/>
        <w:jc w:val="both"/>
      </w:pPr>
      <w:r>
        <w:t xml:space="preserve">Personalul prevăzut la alin. (2) </w:t>
      </w:r>
      <w:proofErr w:type="gramStart"/>
      <w:r>
        <w:t>se</w:t>
      </w:r>
      <w:proofErr w:type="gramEnd"/>
      <w:r>
        <w:t xml:space="preserve"> încadrează cu contract de muncă, cu normă întreagă, pe o perioadă de timp nedeterminată.</w:t>
      </w:r>
    </w:p>
    <w:p w:rsidR="00036A2B" w:rsidRDefault="00036A2B" w:rsidP="00036A2B">
      <w:pPr>
        <w:ind w:firstLine="720"/>
        <w:jc w:val="both"/>
      </w:pPr>
      <w:r>
        <w:t xml:space="preserve">În vederea obținerii certificatului de reatestare, operatorul economic are obligația de a depune la secretariatul Comisiei </w:t>
      </w:r>
      <w:proofErr w:type="gramStart"/>
      <w:r>
        <w:t>un</w:t>
      </w:r>
      <w:proofErr w:type="gramEnd"/>
      <w:r>
        <w:t xml:space="preserve"> dosar care trebuie să conțină următoarele documente:</w:t>
      </w:r>
    </w:p>
    <w:p w:rsidR="00036A2B" w:rsidRDefault="00036A2B" w:rsidP="00036A2B">
      <w:pPr>
        <w:ind w:firstLine="720"/>
        <w:jc w:val="both"/>
      </w:pPr>
      <w:r>
        <w:t xml:space="preserve">a) </w:t>
      </w:r>
      <w:proofErr w:type="gramStart"/>
      <w:r>
        <w:t>documentele</w:t>
      </w:r>
      <w:proofErr w:type="gramEnd"/>
      <w:r>
        <w:t xml:space="preserve"> prevăzute la art. </w:t>
      </w:r>
      <w:proofErr w:type="gramStart"/>
      <w:r>
        <w:t>12  alin</w:t>
      </w:r>
      <w:proofErr w:type="gramEnd"/>
      <w:r>
        <w:t xml:space="preserve"> (1) lit. a) și lit. e)-i).</w:t>
      </w:r>
      <w:r>
        <w:tab/>
      </w:r>
    </w:p>
    <w:p w:rsidR="00036A2B" w:rsidRDefault="00036A2B" w:rsidP="00036A2B">
      <w:pPr>
        <w:jc w:val="both"/>
      </w:pPr>
      <w:r>
        <w:tab/>
        <w:t xml:space="preserve">b) </w:t>
      </w:r>
      <w:proofErr w:type="gramStart"/>
      <w:r>
        <w:t>copie</w:t>
      </w:r>
      <w:proofErr w:type="gramEnd"/>
      <w:r>
        <w:t xml:space="preserve"> după certificatul constatator emis de către Oficiul Național al Registrului Comerțului, actualizat, valabil și certificat sub semnătură şi ştampilă de către reprezentantul legal;</w:t>
      </w:r>
    </w:p>
    <w:p w:rsidR="00036A2B" w:rsidRPr="00276828" w:rsidRDefault="00036A2B" w:rsidP="00036A2B">
      <w:pPr>
        <w:ind w:firstLine="720"/>
        <w:jc w:val="both"/>
      </w:pPr>
      <w:r w:rsidRPr="00276828">
        <w:t>Revizuirea se solicita de către operatorul economic la schimbarea condițiilor inițiale de atestare/reatestare;</w:t>
      </w:r>
    </w:p>
    <w:p w:rsidR="00036A2B" w:rsidRPr="00276828" w:rsidRDefault="00036A2B" w:rsidP="00036A2B">
      <w:pPr>
        <w:jc w:val="both"/>
        <w:rPr>
          <w:b/>
          <w:bCs/>
        </w:rPr>
      </w:pPr>
      <w:r w:rsidRPr="00276828">
        <w:t>(2) Documentele necesare revizuirii sunt:</w:t>
      </w:r>
    </w:p>
    <w:p w:rsidR="00036A2B" w:rsidRPr="00276828" w:rsidRDefault="00036A2B" w:rsidP="00036A2B">
      <w:pPr>
        <w:pStyle w:val="ListParagraph"/>
        <w:numPr>
          <w:ilvl w:val="0"/>
          <w:numId w:val="1"/>
        </w:numPr>
        <w:jc w:val="both"/>
        <w:rPr>
          <w:rFonts w:ascii="Times New Roman" w:hAnsi="Times New Roman" w:cs="Times New Roman"/>
        </w:rPr>
      </w:pPr>
      <w:r w:rsidRPr="00276828">
        <w:rPr>
          <w:rFonts w:ascii="Times New Roman" w:hAnsi="Times New Roman" w:cs="Times New Roman"/>
        </w:rPr>
        <w:t>Cerere revizuire al cărei model este prevăzut în anexa nr. 3;</w:t>
      </w:r>
    </w:p>
    <w:p w:rsidR="00036A2B" w:rsidRPr="00276828" w:rsidRDefault="00036A2B" w:rsidP="00036A2B">
      <w:pPr>
        <w:pStyle w:val="ListParagraph"/>
        <w:numPr>
          <w:ilvl w:val="0"/>
          <w:numId w:val="1"/>
        </w:numPr>
        <w:jc w:val="both"/>
        <w:rPr>
          <w:rFonts w:ascii="Times New Roman" w:hAnsi="Times New Roman" w:cs="Times New Roman"/>
        </w:rPr>
      </w:pPr>
      <w:r w:rsidRPr="00276828">
        <w:rPr>
          <w:rFonts w:ascii="Times New Roman" w:hAnsi="Times New Roman" w:cs="Times New Roman"/>
        </w:rPr>
        <w:t>Documente din care să rezulte modificarea condițiilor de atestare care impun modificarea volumului atestat;</w:t>
      </w:r>
    </w:p>
    <w:p w:rsidR="00036A2B" w:rsidRPr="00276828" w:rsidRDefault="00036A2B" w:rsidP="00036A2B">
      <w:pPr>
        <w:pStyle w:val="ListParagraph"/>
        <w:numPr>
          <w:ilvl w:val="0"/>
          <w:numId w:val="1"/>
        </w:numPr>
        <w:jc w:val="both"/>
        <w:rPr>
          <w:rFonts w:ascii="Times New Roman" w:hAnsi="Times New Roman" w:cs="Times New Roman"/>
        </w:rPr>
      </w:pPr>
      <w:r w:rsidRPr="00276828">
        <w:rPr>
          <w:rFonts w:ascii="Times New Roman" w:hAnsi="Times New Roman" w:cs="Times New Roman"/>
        </w:rPr>
        <w:t>Documentul care dovedeşte achitarea tarifului stabilit pentru revizuire;</w:t>
      </w:r>
    </w:p>
    <w:p w:rsidR="00036A2B" w:rsidRDefault="00036A2B" w:rsidP="00036A2B">
      <w:pPr>
        <w:ind w:firstLine="142"/>
        <w:jc w:val="both"/>
      </w:pPr>
      <w:r>
        <w:t xml:space="preserve">      </w:t>
      </w:r>
      <w:r w:rsidRPr="00276828">
        <w:t>Revizuirea se face prin înscrierea, olograf, a revizuirilor/modificărilor pe verso la certificatul de atestare/reatestare emis în condiţiile prezentului regulament. Revizuirea se înscrie pentru perioada de valabilitate rămasă a certificatului de atestare/reatestare initial</w:t>
      </w:r>
      <w:r>
        <w:t>.</w:t>
      </w:r>
    </w:p>
    <w:p w:rsidR="00036A2B" w:rsidRDefault="00036A2B" w:rsidP="00036A2B">
      <w:pPr>
        <w:ind w:firstLine="142"/>
        <w:jc w:val="both"/>
      </w:pPr>
      <w:r w:rsidRPr="00773793">
        <w:t>În scopul creşterii gradului de transparenţă şi a facilitării controlului utilajelor care sunt utilizate de operatorii economici pentru activitatea de exploatare forestieră se înființează, începând cu 1 ianuarie 2019, Registrul electronic al utilajelor  forestiere, denumit în co</w:t>
      </w:r>
      <w:r>
        <w:t>ntinuare Registru, care va fi dezvoltat şi menţinut funcţional de către ASFOR.</w:t>
      </w:r>
    </w:p>
    <w:p w:rsidR="00036A2B" w:rsidRDefault="00036A2B" w:rsidP="00036A2B">
      <w:pPr>
        <w:ind w:firstLine="720"/>
        <w:jc w:val="both"/>
      </w:pPr>
      <w:r w:rsidRPr="00276828">
        <w:t>Cu ocazia atestării/reatestării/revizuirii secretariatul Comisiei înregistrează în Registru următoarele date minime:</w:t>
      </w:r>
    </w:p>
    <w:p w:rsidR="00036A2B" w:rsidRPr="00BF4529" w:rsidRDefault="00036A2B" w:rsidP="00036A2B">
      <w:pPr>
        <w:pStyle w:val="ListParagraph"/>
        <w:numPr>
          <w:ilvl w:val="0"/>
          <w:numId w:val="2"/>
        </w:numPr>
        <w:jc w:val="both"/>
      </w:pPr>
      <w:r w:rsidRPr="00BF4529">
        <w:rPr>
          <w:rFonts w:ascii="Times New Roman" w:hAnsi="Times New Roman" w:cs="Times New Roman"/>
        </w:rPr>
        <w:t xml:space="preserve">număr de identificare al utilajului, </w:t>
      </w:r>
    </w:p>
    <w:p w:rsidR="00036A2B" w:rsidRPr="00BF4529" w:rsidRDefault="00036A2B" w:rsidP="00036A2B">
      <w:pPr>
        <w:pStyle w:val="ListParagraph"/>
        <w:numPr>
          <w:ilvl w:val="0"/>
          <w:numId w:val="2"/>
        </w:numPr>
        <w:jc w:val="both"/>
      </w:pPr>
      <w:r w:rsidRPr="00BF4529">
        <w:rPr>
          <w:rFonts w:ascii="Times New Roman" w:hAnsi="Times New Roman" w:cs="Times New Roman"/>
        </w:rPr>
        <w:t xml:space="preserve">judeţ, </w:t>
      </w:r>
    </w:p>
    <w:p w:rsidR="00036A2B" w:rsidRPr="00BF4529" w:rsidRDefault="00036A2B" w:rsidP="00036A2B">
      <w:pPr>
        <w:pStyle w:val="ListParagraph"/>
        <w:numPr>
          <w:ilvl w:val="0"/>
          <w:numId w:val="2"/>
        </w:numPr>
        <w:jc w:val="both"/>
      </w:pPr>
      <w:r w:rsidRPr="00BF4529">
        <w:rPr>
          <w:rFonts w:ascii="Times New Roman" w:hAnsi="Times New Roman" w:cs="Times New Roman"/>
        </w:rPr>
        <w:t xml:space="preserve">operator economic proprietar al utilajului, </w:t>
      </w:r>
    </w:p>
    <w:p w:rsidR="00036A2B" w:rsidRPr="00BF4529" w:rsidRDefault="00036A2B" w:rsidP="00036A2B">
      <w:pPr>
        <w:pStyle w:val="ListParagraph"/>
        <w:numPr>
          <w:ilvl w:val="0"/>
          <w:numId w:val="2"/>
        </w:numPr>
        <w:jc w:val="both"/>
      </w:pPr>
      <w:r w:rsidRPr="00BF4529">
        <w:rPr>
          <w:rFonts w:ascii="Times New Roman" w:hAnsi="Times New Roman" w:cs="Times New Roman"/>
        </w:rPr>
        <w:t xml:space="preserve">tip utilaj, </w:t>
      </w:r>
    </w:p>
    <w:p w:rsidR="00036A2B" w:rsidRPr="00BF4529" w:rsidRDefault="00036A2B" w:rsidP="00036A2B">
      <w:pPr>
        <w:pStyle w:val="ListParagraph"/>
        <w:numPr>
          <w:ilvl w:val="0"/>
          <w:numId w:val="2"/>
        </w:numPr>
        <w:jc w:val="both"/>
      </w:pPr>
      <w:r w:rsidRPr="00BF4529">
        <w:rPr>
          <w:rFonts w:ascii="Times New Roman" w:hAnsi="Times New Roman" w:cs="Times New Roman"/>
        </w:rPr>
        <w:t xml:space="preserve">an achiziție,  </w:t>
      </w:r>
    </w:p>
    <w:p w:rsidR="00036A2B" w:rsidRPr="00BF4529" w:rsidRDefault="00036A2B" w:rsidP="00036A2B">
      <w:pPr>
        <w:pStyle w:val="ListParagraph"/>
        <w:numPr>
          <w:ilvl w:val="0"/>
          <w:numId w:val="2"/>
        </w:numPr>
        <w:jc w:val="both"/>
      </w:pPr>
      <w:r w:rsidRPr="00BF4529">
        <w:rPr>
          <w:rFonts w:ascii="Times New Roman" w:hAnsi="Times New Roman" w:cs="Times New Roman"/>
        </w:rPr>
        <w:t xml:space="preserve">foto </w:t>
      </w:r>
      <w:r>
        <w:rPr>
          <w:rFonts w:ascii="Times New Roman" w:hAnsi="Times New Roman" w:cs="Times New Roman"/>
        </w:rPr>
        <w:t xml:space="preserve">color </w:t>
      </w:r>
      <w:r w:rsidRPr="00BF4529">
        <w:rPr>
          <w:rFonts w:ascii="Times New Roman" w:hAnsi="Times New Roman" w:cs="Times New Roman"/>
        </w:rPr>
        <w:t>relevant</w:t>
      </w:r>
      <w:r>
        <w:rPr>
          <w:rFonts w:ascii="Times New Roman" w:hAnsi="Times New Roman" w:cs="Times New Roman"/>
        </w:rPr>
        <w:t>e, prevăzute la art. 17</w:t>
      </w:r>
      <w:r w:rsidRPr="00BF4529">
        <w:rPr>
          <w:rFonts w:ascii="Times New Roman" w:hAnsi="Times New Roman" w:cs="Times New Roman"/>
        </w:rPr>
        <w:t>.</w:t>
      </w:r>
    </w:p>
    <w:p w:rsidR="00036A2B" w:rsidRPr="005E0195" w:rsidRDefault="00036A2B" w:rsidP="00036A2B">
      <w:pPr>
        <w:ind w:firstLine="360"/>
        <w:jc w:val="both"/>
      </w:pPr>
      <w:r>
        <w:t xml:space="preserve">     </w:t>
      </w:r>
      <w:r>
        <w:t>N</w:t>
      </w:r>
      <w:r w:rsidRPr="00BF4529">
        <w:t xml:space="preserve">umărul de identificare al </w:t>
      </w:r>
      <w:r>
        <w:t xml:space="preserve">fiecărui </w:t>
      </w:r>
      <w:r w:rsidRPr="00BF4529">
        <w:t>utilaj</w:t>
      </w:r>
      <w:r>
        <w:t xml:space="preserve"> </w:t>
      </w:r>
      <w:proofErr w:type="gramStart"/>
      <w:r w:rsidRPr="00BF4529">
        <w:t>este</w:t>
      </w:r>
      <w:proofErr w:type="gramEnd"/>
      <w:r w:rsidRPr="00BF4529">
        <w:t xml:space="preserve"> numărul de ordine din Registru; </w:t>
      </w:r>
    </w:p>
    <w:p w:rsidR="00036A2B" w:rsidRDefault="00036A2B" w:rsidP="00036A2B">
      <w:pPr>
        <w:ind w:firstLine="142"/>
        <w:jc w:val="both"/>
      </w:pPr>
      <w:r>
        <w:t xml:space="preserve">        </w:t>
      </w:r>
      <w:r w:rsidRPr="003B456B">
        <w:t xml:space="preserve"> </w:t>
      </w:r>
      <w:r>
        <w:t>F</w:t>
      </w:r>
      <w:r w:rsidRPr="003B456B">
        <w:t>otografia utilajului</w:t>
      </w:r>
      <w:r>
        <w:t>, din partea stângă, şi</w:t>
      </w:r>
      <w:r w:rsidRPr="003B456B">
        <w:t xml:space="preserve"> </w:t>
      </w:r>
      <w:r>
        <w:t>n</w:t>
      </w:r>
      <w:r w:rsidRPr="003B456B">
        <w:t>umărul</w:t>
      </w:r>
      <w:r>
        <w:t xml:space="preserve"> de</w:t>
      </w:r>
      <w:r w:rsidRPr="003B456B">
        <w:t xml:space="preserve"> </w:t>
      </w:r>
      <w:r>
        <w:t>identificare</w:t>
      </w:r>
      <w:r w:rsidRPr="003B456B">
        <w:t xml:space="preserve"> și </w:t>
      </w:r>
      <w:r>
        <w:t>din Registru</w:t>
      </w:r>
      <w:r w:rsidRPr="003B456B">
        <w:t xml:space="preserve"> vor fi tipărite în Situaţia utilajelor din Registru al cărei model </w:t>
      </w:r>
      <w:proofErr w:type="gramStart"/>
      <w:r w:rsidRPr="003B456B">
        <w:t>este</w:t>
      </w:r>
      <w:proofErr w:type="gramEnd"/>
      <w:r w:rsidRPr="003B456B">
        <w:t xml:space="preserve"> prevăzut în anexa nr. 1 la Certificatul de atestare/reatestare</w:t>
      </w:r>
      <w:r>
        <w:t>.</w:t>
      </w:r>
    </w:p>
    <w:p w:rsidR="00036A2B" w:rsidRDefault="00036A2B" w:rsidP="00036A2B">
      <w:pPr>
        <w:ind w:firstLine="720"/>
        <w:jc w:val="both"/>
      </w:pPr>
      <w:r>
        <w:t xml:space="preserve">Calculul capacității anuale de exploatare a masei lemnoase de către </w:t>
      </w:r>
      <w:proofErr w:type="gramStart"/>
      <w:r>
        <w:t>un</w:t>
      </w:r>
      <w:proofErr w:type="gramEnd"/>
      <w:r>
        <w:t xml:space="preserve"> operator economic se face în baza îndeplinirii cumulative a următoarelor criterii:</w:t>
      </w:r>
    </w:p>
    <w:p w:rsidR="00036A2B" w:rsidRDefault="00036A2B" w:rsidP="00036A2B">
      <w:pPr>
        <w:ind w:firstLine="720"/>
        <w:jc w:val="both"/>
      </w:pPr>
      <w:r>
        <w:t xml:space="preserve">a) </w:t>
      </w:r>
      <w:proofErr w:type="gramStart"/>
      <w:r>
        <w:t>încadrarea</w:t>
      </w:r>
      <w:proofErr w:type="gramEnd"/>
      <w:r>
        <w:t xml:space="preserve"> cu personal de specialitate, stabilindu-se o capacitate anuală de exploatare de:</w:t>
      </w:r>
    </w:p>
    <w:p w:rsidR="00036A2B" w:rsidRDefault="00036A2B" w:rsidP="00036A2B">
      <w:pPr>
        <w:ind w:left="720"/>
        <w:jc w:val="both"/>
      </w:pPr>
      <w:r>
        <w:t>a1)15.000 m3/</w:t>
      </w:r>
      <w:proofErr w:type="gramStart"/>
      <w:r>
        <w:t>an</w:t>
      </w:r>
      <w:proofErr w:type="gramEnd"/>
      <w:r>
        <w:t xml:space="preserve"> pentru un maistru, absolvent de liceu specializarea silvicultură/exploatări forestiere; tehnician în silvicultură/exploatări forestiere, subinginer silvic/exploatări forestiere;</w:t>
      </w:r>
    </w:p>
    <w:p w:rsidR="00036A2B" w:rsidRDefault="00036A2B" w:rsidP="00036A2B">
      <w:pPr>
        <w:ind w:left="720"/>
        <w:jc w:val="both"/>
      </w:pPr>
      <w:r>
        <w:t>a2) 25.000 m3/an inginer în silvicultură/exploatări forestiere;</w:t>
      </w:r>
    </w:p>
    <w:p w:rsidR="00036A2B" w:rsidRDefault="00036A2B" w:rsidP="00036A2B">
      <w:pPr>
        <w:ind w:firstLine="720"/>
        <w:jc w:val="both"/>
      </w:pPr>
    </w:p>
    <w:p w:rsidR="00036A2B" w:rsidRDefault="00036A2B" w:rsidP="00036A2B">
      <w:pPr>
        <w:ind w:firstLine="720"/>
        <w:jc w:val="both"/>
      </w:pPr>
      <w:r>
        <w:lastRenderedPageBreak/>
        <w:t xml:space="preserve">b) </w:t>
      </w:r>
      <w:proofErr w:type="gramStart"/>
      <w:r>
        <w:t>deținerea</w:t>
      </w:r>
      <w:proofErr w:type="gramEnd"/>
      <w:r>
        <w:t xml:space="preserve"> de utilaje specifice realizării lucrărilor de exploatare forestieră luându-se în calcul, o capacitate anuală, astfel:</w:t>
      </w:r>
    </w:p>
    <w:p w:rsidR="00036A2B" w:rsidRDefault="00036A2B" w:rsidP="00036A2B">
      <w:pPr>
        <w:ind w:left="720"/>
        <w:jc w:val="both"/>
      </w:pPr>
      <w:r>
        <w:t xml:space="preserve">i) </w:t>
      </w:r>
      <w:proofErr w:type="gramStart"/>
      <w:r>
        <w:t>un</w:t>
      </w:r>
      <w:proofErr w:type="gramEnd"/>
      <w:r>
        <w:t xml:space="preserve"> tractor tip articulat - 6.000 m3;</w:t>
      </w:r>
    </w:p>
    <w:p w:rsidR="00036A2B" w:rsidRDefault="00036A2B" w:rsidP="00036A2B">
      <w:pPr>
        <w:ind w:left="720"/>
        <w:jc w:val="both"/>
      </w:pPr>
      <w:r>
        <w:t xml:space="preserve">ii) </w:t>
      </w:r>
      <w:proofErr w:type="gramStart"/>
      <w:r>
        <w:t>un</w:t>
      </w:r>
      <w:proofErr w:type="gramEnd"/>
      <w:r>
        <w:t xml:space="preserve"> tractor cu braț hidraulic cu graifăr – 8.000 mc;</w:t>
      </w:r>
    </w:p>
    <w:p w:rsidR="00036A2B" w:rsidRDefault="00036A2B" w:rsidP="00036A2B">
      <w:pPr>
        <w:ind w:left="720"/>
        <w:jc w:val="both"/>
      </w:pPr>
      <w:r>
        <w:t xml:space="preserve">iii) </w:t>
      </w:r>
      <w:proofErr w:type="gramStart"/>
      <w:r>
        <w:t>un</w:t>
      </w:r>
      <w:proofErr w:type="gramEnd"/>
      <w:r>
        <w:t xml:space="preserve"> tractor cu braț hidraulic și graifăr suplimentar pentru fixarea sarcinii– 10.000 mc;</w:t>
      </w:r>
    </w:p>
    <w:p w:rsidR="00036A2B" w:rsidRDefault="00036A2B" w:rsidP="00036A2B">
      <w:pPr>
        <w:ind w:left="720"/>
        <w:jc w:val="both"/>
      </w:pPr>
      <w:r>
        <w:t xml:space="preserve">iv) </w:t>
      </w:r>
      <w:proofErr w:type="gramStart"/>
      <w:r>
        <w:t>un</w:t>
      </w:r>
      <w:proofErr w:type="gramEnd"/>
      <w:r>
        <w:t xml:space="preserve"> tractor cu braț hidraulic cu graifăr și semi-remorcă – 15.000 mc;</w:t>
      </w:r>
    </w:p>
    <w:p w:rsidR="00036A2B" w:rsidRDefault="00036A2B" w:rsidP="00036A2B">
      <w:pPr>
        <w:ind w:left="720"/>
        <w:jc w:val="both"/>
      </w:pPr>
      <w:r>
        <w:t xml:space="preserve">v) </w:t>
      </w:r>
      <w:proofErr w:type="gramStart"/>
      <w:r>
        <w:t>o</w:t>
      </w:r>
      <w:proofErr w:type="gramEnd"/>
      <w:r>
        <w:t xml:space="preserve"> instalație cu cablu mobilă – 5.000 mc.</w:t>
      </w:r>
    </w:p>
    <w:p w:rsidR="00036A2B" w:rsidRDefault="00036A2B" w:rsidP="00036A2B">
      <w:pPr>
        <w:ind w:left="720"/>
        <w:jc w:val="both"/>
      </w:pPr>
      <w:r>
        <w:t xml:space="preserve">vi) </w:t>
      </w:r>
      <w:proofErr w:type="gramStart"/>
      <w:r>
        <w:t>un</w:t>
      </w:r>
      <w:proofErr w:type="gramEnd"/>
      <w:r>
        <w:t xml:space="preserve"> tractor tip universal echipat pentru exploatări forestiere cu putere de peste 50 CP - 5.000 m3;</w:t>
      </w:r>
    </w:p>
    <w:p w:rsidR="00036A2B" w:rsidRDefault="00036A2B" w:rsidP="00036A2B">
      <w:pPr>
        <w:ind w:left="720"/>
        <w:jc w:val="both"/>
      </w:pPr>
      <w:r>
        <w:t>vii) un tractor tip universal, inclusiv șenilat, echipat pentru exploatări forestiere, cu sapă și troliu, cu putere cuprinsă între 20 și 35 CP - 2.500 m3;</w:t>
      </w:r>
    </w:p>
    <w:p w:rsidR="00036A2B" w:rsidRDefault="00036A2B" w:rsidP="00036A2B">
      <w:pPr>
        <w:ind w:left="720"/>
        <w:jc w:val="both"/>
      </w:pPr>
      <w:r>
        <w:t>viii un tractor tip universal, inclusiv șenilat, echipat pentru exploatări forestiere, cu sapă și troliu, cu putere cuprinsă între 36 și 49 CP – 4.000 m3;</w:t>
      </w:r>
    </w:p>
    <w:p w:rsidR="00036A2B" w:rsidRDefault="00036A2B" w:rsidP="00036A2B">
      <w:pPr>
        <w:ind w:left="720"/>
        <w:jc w:val="both"/>
      </w:pPr>
      <w:r>
        <w:t xml:space="preserve">ix) </w:t>
      </w:r>
      <w:proofErr w:type="gramStart"/>
      <w:r>
        <w:t>alte</w:t>
      </w:r>
      <w:proofErr w:type="gramEnd"/>
      <w:r>
        <w:t xml:space="preserve"> utilaje multifuncționale - maxim 15.000 mc/an, funcţie de specificaţie.</w:t>
      </w:r>
    </w:p>
    <w:p w:rsidR="009B77AB" w:rsidRDefault="009B77AB" w:rsidP="009B77AB">
      <w:pPr>
        <w:ind w:firstLine="720"/>
        <w:jc w:val="both"/>
      </w:pPr>
      <w:r>
        <w:t>Procedura de atestare/reatestare se desfășoară în următoarele etape:</w:t>
      </w:r>
    </w:p>
    <w:p w:rsidR="009B77AB" w:rsidRDefault="009B77AB" w:rsidP="009B77AB">
      <w:pPr>
        <w:ind w:firstLine="720"/>
        <w:jc w:val="both"/>
      </w:pPr>
      <w:r>
        <w:t>a) etapa I - inventarierea de către secretariatul Comisiei, cu minimum două zile lucrătoare înainte de data programării ședinței Comisiei, a dosarelor cu documentele prezentate de operatorii economici în vederea atestării/reatestării/revizuirii, completarea și însușirea unei fișe cu documentele din fiecare dosar, precum și întocmirea propunerii către  Comisie de  analizare a dosarelor;</w:t>
      </w:r>
    </w:p>
    <w:p w:rsidR="009B77AB" w:rsidRDefault="009B77AB" w:rsidP="009B77AB">
      <w:pPr>
        <w:ind w:firstLine="720"/>
        <w:jc w:val="both"/>
      </w:pPr>
      <w:r>
        <w:t xml:space="preserve">b) </w:t>
      </w:r>
      <w:proofErr w:type="gramStart"/>
      <w:r>
        <w:t>etapa</w:t>
      </w:r>
      <w:proofErr w:type="gramEnd"/>
      <w:r>
        <w:t xml:space="preserve"> a II-a - analiza de către Comisie a dosarelor înregistrate și prezentate de secretariat pentru operatorii economici care solicită atestarea/reatestarea/revizuire;</w:t>
      </w:r>
    </w:p>
    <w:p w:rsidR="009B77AB" w:rsidRPr="00276828" w:rsidRDefault="009B77AB" w:rsidP="009B77AB">
      <w:pPr>
        <w:ind w:firstLine="720"/>
        <w:jc w:val="both"/>
      </w:pPr>
      <w:r>
        <w:t xml:space="preserve">c) </w:t>
      </w:r>
      <w:proofErr w:type="gramStart"/>
      <w:r>
        <w:t>etapa</w:t>
      </w:r>
      <w:proofErr w:type="gramEnd"/>
      <w:r>
        <w:t xml:space="preserve"> a III-a - deliberarea Comisiei privind atestarea/reatestarea/revizuirea operatorilor </w:t>
      </w:r>
      <w:r w:rsidRPr="00276828">
        <w:t xml:space="preserve">economici sau respingerea cererilor, cu precizarea motivelor care au condus la </w:t>
      </w:r>
      <w:r>
        <w:t>decizia de respingere</w:t>
      </w:r>
      <w:r w:rsidRPr="00276828">
        <w:t>;</w:t>
      </w:r>
    </w:p>
    <w:p w:rsidR="009B77AB" w:rsidRPr="00276828" w:rsidRDefault="009B77AB" w:rsidP="009B77AB">
      <w:pPr>
        <w:ind w:firstLine="720"/>
        <w:jc w:val="both"/>
      </w:pPr>
      <w:r w:rsidRPr="00276828">
        <w:t xml:space="preserve">d) </w:t>
      </w:r>
      <w:proofErr w:type="gramStart"/>
      <w:r w:rsidRPr="00276828">
        <w:t>etapa</w:t>
      </w:r>
      <w:proofErr w:type="gramEnd"/>
      <w:r w:rsidRPr="00276828">
        <w:t xml:space="preserve"> a IV-a - emiterea și eliberarea certificatelor de atestare/reatestare/revizuire;</w:t>
      </w:r>
    </w:p>
    <w:p w:rsidR="009B77AB" w:rsidRPr="00276828" w:rsidRDefault="009B77AB" w:rsidP="009B77AB">
      <w:pPr>
        <w:ind w:firstLine="720"/>
        <w:jc w:val="both"/>
      </w:pPr>
      <w:r w:rsidRPr="00276828">
        <w:t xml:space="preserve">e) etapa a V-a </w:t>
      </w:r>
      <w:r>
        <w:t>–</w:t>
      </w:r>
      <w:r w:rsidRPr="00276828">
        <w:t xml:space="preserve"> </w:t>
      </w:r>
      <w:r>
        <w:t>publicarea şi actualizarea</w:t>
      </w:r>
      <w:r w:rsidRPr="00276828">
        <w:t xml:space="preserve"> listei operatorilor economici care dețin un certificat de atestare/reatestare</w:t>
      </w:r>
      <w:r>
        <w:t xml:space="preserve"> şi a hotărârilor Comisiei</w:t>
      </w:r>
      <w:r w:rsidRPr="00276828">
        <w:t xml:space="preserve"> </w:t>
      </w:r>
      <w:r>
        <w:t>pe</w:t>
      </w:r>
      <w:r w:rsidRPr="00276828">
        <w:t xml:space="preserve"> site-ului web </w:t>
      </w:r>
      <w:r>
        <w:t xml:space="preserve">al </w:t>
      </w:r>
      <w:r w:rsidRPr="00276828">
        <w:t>autorității publice centrale</w:t>
      </w:r>
      <w:r>
        <w:t xml:space="preserve"> care răspunde de </w:t>
      </w:r>
      <w:r w:rsidRPr="00B02C06">
        <w:t>silvicultură</w:t>
      </w:r>
      <w:r>
        <w:t xml:space="preserve"> </w:t>
      </w:r>
      <w:r w:rsidRPr="00B02C06">
        <w:t>şi pe siteul ASFOR</w:t>
      </w:r>
      <w:r>
        <w:t>,</w:t>
      </w:r>
      <w:r w:rsidRPr="00276828">
        <w:t xml:space="preserve"> în termen de 5 zile lucrătoare de la data organizării ședinței de atestare, prin grija secretariatului Comisiei.</w:t>
      </w:r>
    </w:p>
    <w:p w:rsidR="00252CCB" w:rsidRPr="00276828" w:rsidRDefault="00252CCB" w:rsidP="00252CCB">
      <w:pPr>
        <w:ind w:firstLine="720"/>
        <w:jc w:val="both"/>
      </w:pPr>
      <w:r w:rsidRPr="00276828">
        <w:t>Hotărârile adoptate de Comisie se consemnează într-un proces-verbal de ședință și se semnează de către toți membrii prezenți.</w:t>
      </w:r>
    </w:p>
    <w:p w:rsidR="00252CCB" w:rsidRDefault="00252CCB" w:rsidP="00252CCB">
      <w:pPr>
        <w:ind w:firstLine="720"/>
        <w:jc w:val="both"/>
      </w:pPr>
      <w:r w:rsidRPr="00276828">
        <w:t>(2) Procesele-verbale și alte date necesare privind operatorii economici se înregistrează în Registrul Comisiei.</w:t>
      </w:r>
    </w:p>
    <w:p w:rsidR="00252CCB" w:rsidRDefault="00252CCB" w:rsidP="00252CCB">
      <w:pPr>
        <w:ind w:firstLine="720"/>
        <w:jc w:val="both"/>
      </w:pPr>
      <w:r>
        <w:t xml:space="preserve">(3) Procesele-verbale de ședință, registrul prevăzut la alin. (2) și documentațiile prevăzute la art. 12 alin. (1) și art. 13 alin. (1) </w:t>
      </w:r>
      <w:proofErr w:type="gramStart"/>
      <w:r>
        <w:t>se</w:t>
      </w:r>
      <w:proofErr w:type="gramEnd"/>
      <w:r>
        <w:t xml:space="preserve"> arhivează la secretariatul Comisiei o perioadă de 5 ani de la data emiterii certificatelor de atestare emise în baza hotărârilor Comisiei consemnate în acestea.</w:t>
      </w:r>
    </w:p>
    <w:p w:rsidR="009B77AB" w:rsidRDefault="00702C3F" w:rsidP="00702C3F">
      <w:pPr>
        <w:jc w:val="both"/>
      </w:pPr>
      <w:r>
        <w:t xml:space="preserve">            </w:t>
      </w:r>
      <w:r>
        <w:t>Certificatele de atestare/reatestare au valabilitate până la emiterea unui nou certificat de atestare/reatestare dar nu mai mult de 24 luni de la data emiterii, cu obligația operatorului economic de a solicita reatestarea sau revizuirea la schimbarea condițiilor pentru care a fost atestat inițial; emiterea unui alt certificat de reatestare se poate face cu maxim 60 de zile înainte de expirarea valabilităţii certificatului de atestare emis anterior.</w:t>
      </w:r>
    </w:p>
    <w:p w:rsidR="008A73F2" w:rsidRDefault="008A73F2" w:rsidP="008A73F2">
      <w:pPr>
        <w:ind w:firstLine="709"/>
        <w:jc w:val="both"/>
      </w:pPr>
      <w:r>
        <w:t xml:space="preserve">Se interzice, pentru o perioadă de </w:t>
      </w:r>
      <w:proofErr w:type="gramStart"/>
      <w:r>
        <w:t>un</w:t>
      </w:r>
      <w:proofErr w:type="gramEnd"/>
      <w:r>
        <w:t xml:space="preserve"> an de la data retragerii certificatului de atestare/reatestare, atestarea operatorului economic pentru activitatea de exploatare forestieră căruia i s-a retras certificatul de atestare în condițiile prevăzute la alin. (1).</w:t>
      </w:r>
    </w:p>
    <w:p w:rsidR="008A73F2" w:rsidRDefault="008A73F2" w:rsidP="008A73F2">
      <w:pPr>
        <w:ind w:firstLine="709"/>
        <w:jc w:val="both"/>
      </w:pPr>
      <w:r>
        <w:t xml:space="preserve">Se interzice, pentru o perioadă de un an de la data retragerii certificatului de atestare/reatestare, atestarea operatorilor economici pentru activitatea de exploatare forestieră care au ca administratori/asociați aceleași persoane care au avut calitatea de administratori/asociați la operatori economici atestați pentru activitatea de exploatare forestieră cărora li s-au retras certificatele de atestare în condițiile prevăzute la alin. (1) </w:t>
      </w:r>
      <w:proofErr w:type="gramStart"/>
      <w:r>
        <w:t>lit</w:t>
      </w:r>
      <w:proofErr w:type="gramEnd"/>
      <w:r>
        <w:t>. b)-e).</w:t>
      </w:r>
    </w:p>
    <w:p w:rsidR="008B4C50" w:rsidRDefault="008B4C50" w:rsidP="008B4C50">
      <w:pPr>
        <w:ind w:firstLine="720"/>
        <w:jc w:val="both"/>
      </w:pPr>
      <w:r>
        <w:t>Certificatele de atestare/reatestare eliberate anterior datei intrării în vigoare a prezentului regulament rămân valabile până la data expirării sau, după caz, a retragerii acestora în condițiile prezentului regulament.</w:t>
      </w:r>
    </w:p>
    <w:p w:rsidR="008B4C50" w:rsidRDefault="008B4C50" w:rsidP="008B4C50">
      <w:pPr>
        <w:ind w:firstLine="720"/>
        <w:jc w:val="both"/>
        <w:rPr>
          <w:b/>
        </w:rPr>
      </w:pPr>
      <w:r>
        <w:t xml:space="preserve">Emitenții autorizațiilor de exploatare sunt obligați </w:t>
      </w:r>
      <w:proofErr w:type="gramStart"/>
      <w:r>
        <w:t>să</w:t>
      </w:r>
      <w:proofErr w:type="gramEnd"/>
      <w:r>
        <w:t xml:space="preserve"> consemneze</w:t>
      </w:r>
      <w:r w:rsidRPr="00981CA8">
        <w:t>,</w:t>
      </w:r>
      <w:r>
        <w:t xml:space="preserve"> să semneze și să ștampileze,</w:t>
      </w:r>
      <w:r w:rsidRPr="00981CA8">
        <w:t xml:space="preserve"> la data </w:t>
      </w:r>
      <w:r>
        <w:t xml:space="preserve">autorizării </w:t>
      </w:r>
      <w:r w:rsidRPr="00981CA8">
        <w:t xml:space="preserve">partizii, volumul </w:t>
      </w:r>
      <w:r>
        <w:t>autorizat și volumul autorizat cumulat, în situația prevăzută în anexa nr. 2 la Certificatul de atestare/reatestare.</w:t>
      </w:r>
    </w:p>
    <w:p w:rsidR="008B4C50" w:rsidRDefault="008B4C50" w:rsidP="008B4C50">
      <w:pPr>
        <w:ind w:firstLine="720"/>
        <w:jc w:val="both"/>
      </w:pPr>
      <w:r>
        <w:t>Emitenții autorizațiilor de exploatare sunt obligați să consemneze</w:t>
      </w:r>
      <w:r w:rsidRPr="00981CA8">
        <w:t>, la data reprimirii partizii, volumul exploatat</w:t>
      </w:r>
      <w:r>
        <w:t xml:space="preserve"> și </w:t>
      </w:r>
      <w:proofErr w:type="gramStart"/>
      <w:r>
        <w:t>volumul  exploatat</w:t>
      </w:r>
      <w:proofErr w:type="gramEnd"/>
      <w:r>
        <w:t xml:space="preserve"> cumulat, în situația prevăzută în anexa nr. 2 la Certificatul de atestare/reatestare.</w:t>
      </w:r>
    </w:p>
    <w:p w:rsidR="008B4C50" w:rsidRDefault="008B4C50" w:rsidP="008B4C50">
      <w:pPr>
        <w:ind w:firstLine="720"/>
        <w:jc w:val="both"/>
      </w:pPr>
      <w:r>
        <w:lastRenderedPageBreak/>
        <w:t xml:space="preserve">Emitenții autorizațiilor de exploatare sunt obligați să verifice în momentul predării </w:t>
      </w:r>
      <w:proofErr w:type="gramStart"/>
      <w:r>
        <w:t>partizii  spre</w:t>
      </w:r>
      <w:proofErr w:type="gramEnd"/>
      <w:r>
        <w:t xml:space="preserve"> exploatare existența dotării cu utilajele specifice conform Certificatului de atestare/reatestare.</w:t>
      </w:r>
    </w:p>
    <w:p w:rsidR="007B7E26" w:rsidRDefault="007B7E26" w:rsidP="007B7E26">
      <w:pPr>
        <w:tabs>
          <w:tab w:val="left" w:pos="142"/>
        </w:tabs>
        <w:jc w:val="both"/>
      </w:pPr>
      <w:r w:rsidRPr="007B7E26">
        <w:rPr>
          <w:rFonts w:eastAsiaTheme="minorHAnsi" w:cstheme="minorBidi"/>
          <w:lang w:val="ro-RO"/>
        </w:rPr>
        <w:t xml:space="preserve">Având în vedere cele prezentate, vă rugăm să fiţi de acord cu elaborarea proiectului de </w:t>
      </w:r>
      <w:r>
        <w:rPr>
          <w:rFonts w:eastAsiaTheme="minorHAnsi" w:cstheme="minorBidi"/>
          <w:lang w:val="ro-RO"/>
        </w:rPr>
        <w:t xml:space="preserve">ordin </w:t>
      </w:r>
      <w:r w:rsidRPr="007B7E26">
        <w:t xml:space="preserve">pentru aprobarea </w:t>
      </w:r>
      <w:bookmarkStart w:id="1" w:name="__DdeLink__1537_3001815417"/>
      <w:r w:rsidRPr="007B7E26">
        <w:t>Regulamentului privind organizarea, funcţionarea şi componenţa Comisiei de atestare a operatorilor economici pentru activitatea de exploatare forestieră, precum şi criteriile de atestare pentru activitatea de exploatare forestieră</w:t>
      </w:r>
      <w:bookmarkEnd w:id="1"/>
      <w:r>
        <w:t xml:space="preserve">. </w:t>
      </w:r>
    </w:p>
    <w:p w:rsidR="007B7E26" w:rsidRDefault="007B7E26" w:rsidP="007B7E26">
      <w:pPr>
        <w:tabs>
          <w:tab w:val="left" w:pos="142"/>
        </w:tabs>
        <w:jc w:val="both"/>
      </w:pPr>
    </w:p>
    <w:p w:rsidR="007B7E26" w:rsidRDefault="007B7E26" w:rsidP="007B7E26">
      <w:pPr>
        <w:tabs>
          <w:tab w:val="left" w:pos="142"/>
        </w:tabs>
        <w:ind w:left="-426"/>
        <w:jc w:val="both"/>
      </w:pPr>
    </w:p>
    <w:p w:rsidR="007B7E26" w:rsidRPr="007B7E26" w:rsidRDefault="007B7E26" w:rsidP="007B7E26">
      <w:pPr>
        <w:tabs>
          <w:tab w:val="left" w:pos="142"/>
        </w:tabs>
        <w:ind w:left="-426"/>
        <w:jc w:val="both"/>
      </w:pPr>
    </w:p>
    <w:p w:rsidR="00036A2B" w:rsidRDefault="007B7E26" w:rsidP="007B7E26">
      <w:pPr>
        <w:jc w:val="center"/>
        <w:rPr>
          <w:bCs/>
        </w:rPr>
      </w:pPr>
      <w:r>
        <w:rPr>
          <w:bCs/>
        </w:rPr>
        <w:t>DIRECTOR</w:t>
      </w:r>
    </w:p>
    <w:p w:rsidR="007B7E26" w:rsidRDefault="007B7E26" w:rsidP="007B7E26">
      <w:pPr>
        <w:jc w:val="center"/>
        <w:rPr>
          <w:bCs/>
        </w:rPr>
      </w:pPr>
    </w:p>
    <w:p w:rsidR="007B7E26" w:rsidRPr="00E47FF7" w:rsidRDefault="007B7E26" w:rsidP="007B7E26">
      <w:pPr>
        <w:jc w:val="center"/>
        <w:rPr>
          <w:bCs/>
        </w:rPr>
      </w:pPr>
      <w:r>
        <w:rPr>
          <w:bCs/>
        </w:rPr>
        <w:t>Dănuț IACOB</w:t>
      </w:r>
      <w:bookmarkStart w:id="2" w:name="_GoBack"/>
      <w:bookmarkEnd w:id="2"/>
    </w:p>
    <w:sectPr w:rsidR="007B7E26" w:rsidRPr="00E47FF7" w:rsidSect="00036A2B">
      <w:pgSz w:w="12240" w:h="15840"/>
      <w:pgMar w:top="426" w:right="61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E2F1D"/>
    <w:multiLevelType w:val="hybridMultilevel"/>
    <w:tmpl w:val="BB568098"/>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B1FF0"/>
    <w:multiLevelType w:val="hybridMultilevel"/>
    <w:tmpl w:val="DB8C3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F7"/>
    <w:rsid w:val="00036A2B"/>
    <w:rsid w:val="00252CCB"/>
    <w:rsid w:val="00331C01"/>
    <w:rsid w:val="00587630"/>
    <w:rsid w:val="00702C3F"/>
    <w:rsid w:val="007B7E26"/>
    <w:rsid w:val="008A73F2"/>
    <w:rsid w:val="008B4C50"/>
    <w:rsid w:val="00972EA5"/>
    <w:rsid w:val="009B77AB"/>
    <w:rsid w:val="00CC4F1B"/>
    <w:rsid w:val="00D97AF6"/>
    <w:rsid w:val="00E4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D27FF-E5BF-4F0B-8166-A014810E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F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47FF7"/>
    <w:pPr>
      <w:keepNext/>
      <w:jc w:val="center"/>
      <w:outlineLvl w:val="2"/>
    </w:pPr>
    <w:rPr>
      <w:rFonts w:ascii="Arial" w:hAnsi="Arial"/>
      <w:b/>
      <w:i/>
      <w:sz w:val="28"/>
    </w:rPr>
  </w:style>
  <w:style w:type="paragraph" w:styleId="Heading5">
    <w:name w:val="heading 5"/>
    <w:basedOn w:val="Normal"/>
    <w:next w:val="Normal"/>
    <w:link w:val="Heading5Char"/>
    <w:qFormat/>
    <w:rsid w:val="00E47FF7"/>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7FF7"/>
    <w:rPr>
      <w:rFonts w:ascii="Arial" w:eastAsia="Times New Roman" w:hAnsi="Arial" w:cs="Times New Roman"/>
      <w:b/>
      <w:i/>
      <w:sz w:val="28"/>
      <w:szCs w:val="24"/>
    </w:rPr>
  </w:style>
  <w:style w:type="character" w:customStyle="1" w:styleId="Heading5Char">
    <w:name w:val="Heading 5 Char"/>
    <w:basedOn w:val="DefaultParagraphFont"/>
    <w:link w:val="Heading5"/>
    <w:rsid w:val="00E47FF7"/>
    <w:rPr>
      <w:rFonts w:ascii="Arial" w:eastAsia="Times New Roman" w:hAnsi="Arial" w:cs="Arial"/>
      <w:b/>
      <w:bCs/>
      <w:sz w:val="28"/>
      <w:szCs w:val="24"/>
    </w:rPr>
  </w:style>
  <w:style w:type="paragraph" w:styleId="Caption">
    <w:name w:val="caption"/>
    <w:basedOn w:val="Normal"/>
    <w:next w:val="Normal"/>
    <w:qFormat/>
    <w:rsid w:val="00E47FF7"/>
    <w:rPr>
      <w:rFonts w:ascii="Arial" w:hAnsi="Arial" w:cs="Arial"/>
      <w:b/>
      <w:bCs/>
    </w:rPr>
  </w:style>
  <w:style w:type="paragraph" w:styleId="ListParagraph">
    <w:name w:val="List Paragraph"/>
    <w:basedOn w:val="Normal"/>
    <w:uiPriority w:val="34"/>
    <w:qFormat/>
    <w:rsid w:val="00036A2B"/>
    <w:pPr>
      <w:ind w:left="720"/>
      <w:contextualSpacing/>
    </w:pPr>
    <w:rPr>
      <w:rFonts w:ascii="Liberation Serif" w:eastAsia="Source Han Sans CN Regular" w:hAnsi="Liberation Serif" w:cs="Mangal"/>
      <w:kern w:val="2"/>
      <w:szCs w:val="21"/>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9</cp:revision>
  <dcterms:created xsi:type="dcterms:W3CDTF">2018-10-12T06:33:00Z</dcterms:created>
  <dcterms:modified xsi:type="dcterms:W3CDTF">2018-10-12T07:00:00Z</dcterms:modified>
</cp:coreProperties>
</file>