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021BB" w14:textId="03ED80A8" w:rsidR="00477E8B" w:rsidRDefault="00477E8B" w:rsidP="00477E8B">
      <w:pPr>
        <w:jc w:val="center"/>
        <w:outlineLvl w:val="0"/>
        <w:rPr>
          <w:b/>
        </w:rPr>
      </w:pPr>
      <w:r w:rsidRPr="00E81280">
        <w:rPr>
          <w:b/>
        </w:rPr>
        <w:t>NOTĂ DE FUNDAMENTARE</w:t>
      </w:r>
    </w:p>
    <w:p w14:paraId="496D68E6" w14:textId="77777777" w:rsidR="001F35CB" w:rsidRPr="00E81280" w:rsidRDefault="001F35CB" w:rsidP="00477E8B">
      <w:pPr>
        <w:jc w:val="center"/>
        <w:outlineLvl w:val="0"/>
        <w:rPr>
          <w:sz w:val="16"/>
          <w:szCs w:val="16"/>
        </w:rPr>
      </w:pPr>
    </w:p>
    <w:tbl>
      <w:tblPr>
        <w:tblW w:w="105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0"/>
        <w:gridCol w:w="13"/>
        <w:gridCol w:w="1795"/>
        <w:gridCol w:w="892"/>
        <w:gridCol w:w="8"/>
        <w:gridCol w:w="1072"/>
        <w:gridCol w:w="974"/>
        <w:gridCol w:w="16"/>
        <w:gridCol w:w="990"/>
        <w:gridCol w:w="990"/>
        <w:gridCol w:w="1140"/>
      </w:tblGrid>
      <w:tr w:rsidR="00477E8B" w:rsidRPr="00E81280" w14:paraId="7BDE8EE7" w14:textId="77777777" w:rsidTr="00477E8B">
        <w:trPr>
          <w:trHeight w:val="274"/>
        </w:trPr>
        <w:tc>
          <w:tcPr>
            <w:tcW w:w="10560" w:type="dxa"/>
            <w:gridSpan w:val="11"/>
          </w:tcPr>
          <w:p w14:paraId="19DAD9B4" w14:textId="77777777" w:rsidR="00477E8B" w:rsidRPr="00E81280" w:rsidRDefault="00477E8B" w:rsidP="00AA463A">
            <w:pPr>
              <w:jc w:val="center"/>
              <w:rPr>
                <w:b/>
              </w:rPr>
            </w:pPr>
            <w:r w:rsidRPr="00E81280">
              <w:rPr>
                <w:b/>
              </w:rPr>
              <w:t>Secţiunea 1: Titlul proiectului de act normativ</w:t>
            </w:r>
          </w:p>
        </w:tc>
      </w:tr>
      <w:tr w:rsidR="00477E8B" w:rsidRPr="00E81280" w14:paraId="434F0925" w14:textId="77777777" w:rsidTr="00477E8B">
        <w:trPr>
          <w:trHeight w:val="503"/>
        </w:trPr>
        <w:tc>
          <w:tcPr>
            <w:tcW w:w="10560" w:type="dxa"/>
            <w:gridSpan w:val="11"/>
          </w:tcPr>
          <w:p w14:paraId="592E2D6D" w14:textId="77777777" w:rsidR="001F35CB" w:rsidRDefault="001F35CB" w:rsidP="00AA463A">
            <w:pPr>
              <w:jc w:val="center"/>
              <w:rPr>
                <w:b/>
              </w:rPr>
            </w:pPr>
          </w:p>
          <w:p w14:paraId="241D1CD2" w14:textId="23FA6CD7" w:rsidR="00477E8B" w:rsidRPr="006E27E2" w:rsidRDefault="00477E8B" w:rsidP="00AA463A">
            <w:pPr>
              <w:jc w:val="center"/>
              <w:rPr>
                <w:b/>
              </w:rPr>
            </w:pPr>
            <w:r w:rsidRPr="006E27E2">
              <w:rPr>
                <w:b/>
              </w:rPr>
              <w:t>HOTĂRÂRE A GUVERNULUI</w:t>
            </w:r>
          </w:p>
          <w:p w14:paraId="0BE76328" w14:textId="2EB9BACF" w:rsidR="00477E8B" w:rsidRPr="006E27E2" w:rsidRDefault="00DE58C7" w:rsidP="00AA463A">
            <w:pPr>
              <w:jc w:val="center"/>
              <w:rPr>
                <w:b/>
              </w:rPr>
            </w:pPr>
            <w:r w:rsidRPr="006E27E2">
              <w:rPr>
                <w:b/>
              </w:rPr>
              <w:t xml:space="preserve">pentru aprobarea scoaterii definitive din fondul forestier naţional a terenului în suprafaţă de 1,0517 ha, pentru aprobarea ocupării temporare pe o perioadă de 10 ani a terenului din fondul forestier național în suprafață de 146,0177 ha și pentru aprobarea ocupării temporare pentru o perioadă de 2 ani a terenului din fondul forestier național în suprafață de 4,3016 ha de către Compania Naţională de Transport al Energiei Electrice Transelectrica S.A., în vederea realizării obiectivului „Trecerea la tensiunea de 400 kV </w:t>
            </w:r>
            <w:r w:rsidR="00191E1B" w:rsidRPr="006E27E2">
              <w:rPr>
                <w:b/>
              </w:rPr>
              <w:t xml:space="preserve">a axului </w:t>
            </w:r>
            <w:r w:rsidRPr="006E27E2">
              <w:rPr>
                <w:b/>
              </w:rPr>
              <w:t>Porțile de Fier-Reșița-Timișoara-Săcălaz-Arad/LEA 400 kV Porțile de Fier-Anin</w:t>
            </w:r>
            <w:r w:rsidR="00191E1B" w:rsidRPr="006E27E2">
              <w:rPr>
                <w:b/>
              </w:rPr>
              <w:t>a</w:t>
            </w:r>
            <w:r w:rsidRPr="006E27E2">
              <w:rPr>
                <w:b/>
              </w:rPr>
              <w:t>-Reșița”</w:t>
            </w:r>
          </w:p>
          <w:p w14:paraId="46D3B838" w14:textId="77777777" w:rsidR="00477E8B" w:rsidRPr="00BC15B3" w:rsidRDefault="00477E8B" w:rsidP="00AA463A">
            <w:pPr>
              <w:jc w:val="center"/>
              <w:rPr>
                <w:b/>
                <w:bCs/>
              </w:rPr>
            </w:pPr>
          </w:p>
        </w:tc>
      </w:tr>
      <w:tr w:rsidR="00477E8B" w:rsidRPr="00E81280" w14:paraId="1682B1CE" w14:textId="77777777" w:rsidTr="00477E8B">
        <w:trPr>
          <w:trHeight w:val="503"/>
        </w:trPr>
        <w:tc>
          <w:tcPr>
            <w:tcW w:w="10560" w:type="dxa"/>
            <w:gridSpan w:val="11"/>
          </w:tcPr>
          <w:p w14:paraId="4A1EB140" w14:textId="77777777" w:rsidR="00477E8B" w:rsidRDefault="00477E8B" w:rsidP="00AA463A">
            <w:pPr>
              <w:jc w:val="center"/>
              <w:rPr>
                <w:b/>
              </w:rPr>
            </w:pPr>
            <w:r w:rsidRPr="00E81280">
              <w:rPr>
                <w:b/>
              </w:rPr>
              <w:t xml:space="preserve">Secţiunea </w:t>
            </w:r>
            <w:r>
              <w:rPr>
                <w:b/>
              </w:rPr>
              <w:t>a 2-a</w:t>
            </w:r>
            <w:r w:rsidRPr="00E81280">
              <w:rPr>
                <w:b/>
              </w:rPr>
              <w:t xml:space="preserve">: </w:t>
            </w:r>
            <w:r w:rsidRPr="00AB6476">
              <w:rPr>
                <w:b/>
              </w:rPr>
              <w:t>Motivul emiterii actului normativ</w:t>
            </w:r>
          </w:p>
        </w:tc>
      </w:tr>
      <w:tr w:rsidR="00191E1B" w:rsidRPr="00E81280" w14:paraId="3C2F5A64" w14:textId="77777777" w:rsidTr="00477E8B">
        <w:trPr>
          <w:trHeight w:val="503"/>
        </w:trPr>
        <w:tc>
          <w:tcPr>
            <w:tcW w:w="2683" w:type="dxa"/>
            <w:gridSpan w:val="2"/>
          </w:tcPr>
          <w:p w14:paraId="2EEBDF3D" w14:textId="77777777" w:rsidR="00191E1B" w:rsidRPr="00E81280" w:rsidRDefault="00191E1B" w:rsidP="00191E1B">
            <w:pPr>
              <w:rPr>
                <w:b/>
              </w:rPr>
            </w:pPr>
            <w:r w:rsidRPr="00E81280">
              <w:t>1. Descrierea situaţiei actuale</w:t>
            </w:r>
          </w:p>
        </w:tc>
        <w:tc>
          <w:tcPr>
            <w:tcW w:w="7877" w:type="dxa"/>
            <w:gridSpan w:val="9"/>
          </w:tcPr>
          <w:p w14:paraId="09A68861" w14:textId="77777777" w:rsidR="00CC5EF7" w:rsidRPr="00CC5EF7" w:rsidRDefault="00CC5EF7" w:rsidP="00CC5EF7">
            <w:pPr>
              <w:pStyle w:val="NoSpacing"/>
              <w:jc w:val="both"/>
              <w:rPr>
                <w:rFonts w:ascii="Times New Roman" w:eastAsia="Times New Roman" w:hAnsi="Times New Roman"/>
                <w:sz w:val="24"/>
                <w:szCs w:val="24"/>
                <w:lang w:val="ro-RO"/>
              </w:rPr>
            </w:pPr>
            <w:r w:rsidRPr="00CC5EF7">
              <w:rPr>
                <w:rFonts w:ascii="Times New Roman" w:eastAsia="Times New Roman" w:hAnsi="Times New Roman"/>
                <w:sz w:val="24"/>
                <w:szCs w:val="24"/>
                <w:lang w:val="ro-RO"/>
              </w:rPr>
              <w:t>Trecerea axului Porţile de Fier-Reşiţa-Timişoara-Săcălaz-Arad la tensiunea de 400 kV va conduce la întărirea reţelei de interconexiune cu ENTSO-E în zona de sud-vest şi vest a ţării, creând premisele necesare pentru interconexiunea cu Serbia.</w:t>
            </w:r>
          </w:p>
          <w:p w14:paraId="7EAD602C" w14:textId="70CD6BAE" w:rsidR="00CC5EF7" w:rsidRPr="00CC5EF7" w:rsidRDefault="00CC5EF7" w:rsidP="00CC5EF7">
            <w:pPr>
              <w:pStyle w:val="BodyTextIndent"/>
              <w:tabs>
                <w:tab w:val="left" w:pos="3075"/>
              </w:tabs>
              <w:ind w:left="0"/>
              <w:jc w:val="both"/>
            </w:pPr>
            <w:r w:rsidRPr="00CC5EF7">
              <w:t>Priorit</w:t>
            </w:r>
            <w:r>
              <w:t>ăț</w:t>
            </w:r>
            <w:r w:rsidRPr="00CC5EF7">
              <w:t>ile investi</w:t>
            </w:r>
            <w:r>
              <w:t>ț</w:t>
            </w:r>
            <w:r w:rsidRPr="00CC5EF7">
              <w:t xml:space="preserve">ionale ale </w:t>
            </w:r>
            <w:r>
              <w:t xml:space="preserve">Companiei Naționale de Transport al Energiei Electrice </w:t>
            </w:r>
            <w:r w:rsidRPr="00CC5EF7">
              <w:t xml:space="preserve">SA </w:t>
            </w:r>
            <w:r>
              <w:t>î</w:t>
            </w:r>
            <w:r w:rsidRPr="00CC5EF7">
              <w:t>n scopul asigur</w:t>
            </w:r>
            <w:r>
              <w:t>ă</w:t>
            </w:r>
            <w:r w:rsidRPr="00CC5EF7">
              <w:t>rii securit</w:t>
            </w:r>
            <w:r>
              <w:t>ăț</w:t>
            </w:r>
            <w:r w:rsidRPr="00CC5EF7">
              <w:t xml:space="preserve">ii energetice la nivel naţional include  întregirea inelului de 400 kV al reţelei electrice de transport din România precum </w:t>
            </w:r>
            <w:r>
              <w:t>ș</w:t>
            </w:r>
            <w:r w:rsidRPr="00CC5EF7">
              <w:t>i cre</w:t>
            </w:r>
            <w:r>
              <w:t>ș</w:t>
            </w:r>
            <w:r w:rsidRPr="00CC5EF7">
              <w:t>terea capacit</w:t>
            </w:r>
            <w:r>
              <w:t>ăț</w:t>
            </w:r>
            <w:r w:rsidRPr="00CC5EF7">
              <w:t xml:space="preserve">ii de interconexiune cu </w:t>
            </w:r>
            <w:r>
              <w:t>ță</w:t>
            </w:r>
            <w:r w:rsidRPr="00CC5EF7">
              <w:t>rile vecine.</w:t>
            </w:r>
          </w:p>
          <w:p w14:paraId="5C4F7A5C" w14:textId="73861DB9" w:rsidR="00CC5EF7" w:rsidRPr="00CC5EF7" w:rsidRDefault="00CC5EF7" w:rsidP="00CC5EF7">
            <w:pPr>
              <w:shd w:val="clear" w:color="auto" w:fill="FFFFFF"/>
              <w:jc w:val="both"/>
            </w:pPr>
            <w:r w:rsidRPr="00CC5EF7">
              <w:t>Realizarea “LEA 400 kV Por</w:t>
            </w:r>
            <w:r>
              <w:t>ț</w:t>
            </w:r>
            <w:r w:rsidRPr="00CC5EF7">
              <w:t>ile de Fier-(Anina)-Re</w:t>
            </w:r>
            <w:r>
              <w:t>ș</w:t>
            </w:r>
            <w:r w:rsidRPr="00CC5EF7">
              <w:t>i</w:t>
            </w:r>
            <w:r>
              <w:t>ț</w:t>
            </w:r>
            <w:r w:rsidRPr="00CC5EF7">
              <w:t>a”, componenta a trecerii la 400 kV a axului Por</w:t>
            </w:r>
            <w:r>
              <w:t>ț</w:t>
            </w:r>
            <w:r w:rsidRPr="00CC5EF7">
              <w:t>ile de Fier-Re</w:t>
            </w:r>
            <w:r>
              <w:t>ș</w:t>
            </w:r>
            <w:r w:rsidRPr="00CC5EF7">
              <w:t>i</w:t>
            </w:r>
            <w:r>
              <w:t>ț</w:t>
            </w:r>
            <w:r w:rsidRPr="00CC5EF7">
              <w:t>a-Timi</w:t>
            </w:r>
            <w:r>
              <w:t>ș</w:t>
            </w:r>
            <w:r w:rsidRPr="00CC5EF7">
              <w:t>oara-Sacalaz-Arad c</w:t>
            </w:r>
            <w:r>
              <w:t>â</w:t>
            </w:r>
            <w:r w:rsidRPr="00CC5EF7">
              <w:t xml:space="preserve">t </w:t>
            </w:r>
            <w:r>
              <w:t>ș</w:t>
            </w:r>
            <w:r w:rsidRPr="00CC5EF7">
              <w:t xml:space="preserve">i realizarea noii linii de interconexiune cu Serbia generează o serie de avantaje, atât pentru funcţionarea reţelelor interne de transport din </w:t>
            </w:r>
            <w:r w:rsidR="00A91050">
              <w:t>sistemul energetic national</w:t>
            </w:r>
            <w:r w:rsidRPr="00CC5EF7">
              <w:t>, cât şi pentru consolidarea interconexiunii cu reţelele ENTSO-E.</w:t>
            </w:r>
          </w:p>
          <w:p w14:paraId="7015F75B" w14:textId="77777777" w:rsidR="00CC5EF7" w:rsidRPr="00CC5EF7" w:rsidRDefault="00CC5EF7" w:rsidP="00CC5EF7">
            <w:r w:rsidRPr="00CC5EF7">
              <w:t>Principalele avantaje sunt:</w:t>
            </w:r>
          </w:p>
          <w:p w14:paraId="15BF5965" w14:textId="77777777" w:rsidR="00CC5EF7" w:rsidRPr="00CC5EF7" w:rsidRDefault="00CC5EF7" w:rsidP="00CC5EF7">
            <w:pPr>
              <w:numPr>
                <w:ilvl w:val="0"/>
                <w:numId w:val="19"/>
              </w:numPr>
              <w:shd w:val="clear" w:color="auto" w:fill="FFFFFF"/>
              <w:suppressAutoHyphens/>
              <w:jc w:val="both"/>
            </w:pPr>
            <w:r w:rsidRPr="00CC5EF7">
              <w:t>securizează alimentarea unei mari zone de consum de circa 1000 MW;</w:t>
            </w:r>
          </w:p>
          <w:p w14:paraId="68D52A91" w14:textId="77777777" w:rsidR="00CC5EF7" w:rsidRPr="00CC5EF7" w:rsidRDefault="00CC5EF7" w:rsidP="00CC5EF7">
            <w:pPr>
              <w:numPr>
                <w:ilvl w:val="0"/>
                <w:numId w:val="19"/>
              </w:numPr>
              <w:shd w:val="clear" w:color="auto" w:fill="FFFFFF"/>
              <w:suppressAutoHyphens/>
              <w:jc w:val="both"/>
            </w:pPr>
            <w:r w:rsidRPr="00CC5EF7">
              <w:t>întăreşte sectorul energetic Banat contribuind la stabilitatea tensiunilor din zonă şi implicit la reducerea pierderilor de putere în reţelele de transport;</w:t>
            </w:r>
          </w:p>
          <w:p w14:paraId="54CEE354" w14:textId="77777777" w:rsidR="00CC5EF7" w:rsidRPr="00CC5EF7" w:rsidRDefault="00CC5EF7" w:rsidP="00CC5EF7">
            <w:pPr>
              <w:numPr>
                <w:ilvl w:val="0"/>
                <w:numId w:val="19"/>
              </w:numPr>
              <w:shd w:val="clear" w:color="auto" w:fill="FFFFFF"/>
              <w:suppressAutoHyphens/>
              <w:jc w:val="both"/>
            </w:pPr>
            <w:r w:rsidRPr="00CC5EF7">
              <w:t>îmbunătăţeşte siguranţa în funcţionare şi creşte calitatea serviciului de transport al energiei electrice în sistemul electroenergetic al României;</w:t>
            </w:r>
          </w:p>
          <w:p w14:paraId="1FF3E183" w14:textId="77777777" w:rsidR="00CC5EF7" w:rsidRPr="00CC5EF7" w:rsidRDefault="00CC5EF7" w:rsidP="00CC5EF7">
            <w:pPr>
              <w:numPr>
                <w:ilvl w:val="0"/>
                <w:numId w:val="19"/>
              </w:numPr>
              <w:shd w:val="clear" w:color="auto" w:fill="FFFFFF"/>
              <w:suppressAutoHyphens/>
              <w:jc w:val="both"/>
            </w:pPr>
            <w:r w:rsidRPr="00CC5EF7">
              <w:t>noua linie de 400 kV Porţile de Fier – Anina rezervează LEA 220 kV existentă Porţile de Fier – Reşiţa (singura linie care evacuează energia electrică produsă la Porţile de Fier în zona Banatului), ceea ce măreşte siguranţa în alimentare a zonei deficitare Banat;</w:t>
            </w:r>
          </w:p>
          <w:p w14:paraId="6A1F29D1" w14:textId="77777777" w:rsidR="00CC5EF7" w:rsidRPr="00CC5EF7" w:rsidRDefault="00CC5EF7" w:rsidP="00CC5EF7">
            <w:pPr>
              <w:numPr>
                <w:ilvl w:val="0"/>
                <w:numId w:val="19"/>
              </w:numPr>
              <w:shd w:val="clear" w:color="auto" w:fill="FFFFFF"/>
              <w:suppressAutoHyphens/>
              <w:jc w:val="both"/>
            </w:pPr>
            <w:r w:rsidRPr="00CC5EF7">
              <w:t>conduc la întărirea reţelei în sud-vestul României şi deci la creşterea cantităţii de energie electrică ce se poate tranzita între România şi Serbia, ceea ce generează compensaţii financiare mai mari;</w:t>
            </w:r>
          </w:p>
          <w:p w14:paraId="48941EDA" w14:textId="7BAE6FE1" w:rsidR="00CC5EF7" w:rsidRPr="00CC5EF7" w:rsidRDefault="00CC5EF7" w:rsidP="00CC5EF7">
            <w:pPr>
              <w:numPr>
                <w:ilvl w:val="0"/>
                <w:numId w:val="19"/>
              </w:numPr>
              <w:shd w:val="clear" w:color="auto" w:fill="FFFFFF"/>
              <w:suppressAutoHyphens/>
              <w:jc w:val="both"/>
            </w:pPr>
            <w:r w:rsidRPr="00CC5EF7">
              <w:t>noua linie de interconexiune rezervează linia existentă Porţile de Fier - Djerdjap, ceea ce măreşte siguranţa îndeplinirii contractelor de import/export cu piaţa europeană de energie</w:t>
            </w:r>
            <w:r w:rsidR="00F60513">
              <w:t>.</w:t>
            </w:r>
          </w:p>
          <w:p w14:paraId="5BC1959F" w14:textId="2EB89EBC" w:rsidR="00CC5EF7" w:rsidRPr="00CC5EF7" w:rsidRDefault="00CC5EF7" w:rsidP="00CC5EF7">
            <w:pPr>
              <w:suppressAutoHyphens/>
              <w:jc w:val="both"/>
            </w:pPr>
            <w:r w:rsidRPr="00CC5EF7">
              <w:t>Totodat</w:t>
            </w:r>
            <w:r w:rsidR="00F60513">
              <w:t>ă</w:t>
            </w:r>
            <w:r w:rsidRPr="00CC5EF7">
              <w:t xml:space="preserve"> „Trecerea la tensiunea de 400 kV a axului Por</w:t>
            </w:r>
            <w:r w:rsidR="00F60513">
              <w:t>ț</w:t>
            </w:r>
            <w:r w:rsidRPr="00CC5EF7">
              <w:t>ile de Fier-Re</w:t>
            </w:r>
            <w:r w:rsidR="00F60513">
              <w:t>ș</w:t>
            </w:r>
            <w:r w:rsidRPr="00CC5EF7">
              <w:t>i</w:t>
            </w:r>
            <w:r w:rsidR="00F60513">
              <w:t>ț</w:t>
            </w:r>
            <w:r w:rsidRPr="00CC5EF7">
              <w:t>a-Timi</w:t>
            </w:r>
            <w:r w:rsidR="00F60513">
              <w:t>ș</w:t>
            </w:r>
            <w:r w:rsidRPr="00CC5EF7">
              <w:t xml:space="preserve">oara-Sacalaz-Arad / LEA 400 kV Porţile de Fier-(Anina)-Reşiţa” este  inclus </w:t>
            </w:r>
            <w:r w:rsidR="00F60513">
              <w:t>î</w:t>
            </w:r>
            <w:r w:rsidRPr="00CC5EF7">
              <w:t>n lista Proiectelor de Interes Comun European, f</w:t>
            </w:r>
            <w:r w:rsidR="00F60513">
              <w:t>ă</w:t>
            </w:r>
            <w:r w:rsidRPr="00CC5EF7">
              <w:t>c</w:t>
            </w:r>
            <w:r w:rsidR="00F60513">
              <w:t>â</w:t>
            </w:r>
            <w:r w:rsidRPr="00CC5EF7">
              <w:t>nd parte din clusterul “Mid Continental East Corridor” datorit</w:t>
            </w:r>
            <w:r w:rsidR="00F60513">
              <w:t>ă</w:t>
            </w:r>
            <w:r w:rsidRPr="00CC5EF7">
              <w:t xml:space="preserve"> contribu</w:t>
            </w:r>
            <w:r w:rsidR="00F60513">
              <w:t>ț</w:t>
            </w:r>
            <w:r w:rsidRPr="00CC5EF7">
              <w:t>iei proiectului la implementarea priorităţilor strategice ale Uniunii Europene privind infrastructura energetică transeuropeană.</w:t>
            </w:r>
          </w:p>
          <w:p w14:paraId="20C6290F" w14:textId="77777777" w:rsidR="00CC5EF7" w:rsidRDefault="00CC5EF7" w:rsidP="00191E1B">
            <w:pPr>
              <w:autoSpaceDE w:val="0"/>
              <w:autoSpaceDN w:val="0"/>
              <w:adjustRightInd w:val="0"/>
              <w:jc w:val="both"/>
            </w:pPr>
          </w:p>
          <w:p w14:paraId="5756FD23" w14:textId="7291127C" w:rsidR="00191E1B" w:rsidRPr="00D6340D" w:rsidRDefault="00191E1B" w:rsidP="00D66064">
            <w:pPr>
              <w:autoSpaceDE w:val="0"/>
              <w:autoSpaceDN w:val="0"/>
              <w:adjustRightInd w:val="0"/>
              <w:jc w:val="both"/>
            </w:pPr>
            <w:r w:rsidRPr="00D6340D">
              <w:t>În vederea realizării obiectivului, s-au emis :</w:t>
            </w:r>
          </w:p>
          <w:p w14:paraId="3F3A194E" w14:textId="3B77CC44" w:rsidR="00191E1B" w:rsidRDefault="00191E1B" w:rsidP="00191E1B">
            <w:pPr>
              <w:autoSpaceDE w:val="0"/>
              <w:autoSpaceDN w:val="0"/>
              <w:adjustRightInd w:val="0"/>
              <w:jc w:val="both"/>
            </w:pPr>
            <w:r w:rsidRPr="00D6340D">
              <w:t xml:space="preserve"> - HG nr. </w:t>
            </w:r>
            <w:r>
              <w:t>917</w:t>
            </w:r>
            <w:r w:rsidRPr="00D6340D">
              <w:t>/201</w:t>
            </w:r>
            <w:r>
              <w:t>6</w:t>
            </w:r>
            <w:r w:rsidRPr="00D6340D">
              <w:t xml:space="preserve"> pentru aprobarea </w:t>
            </w:r>
            <w:r>
              <w:t xml:space="preserve">amplasamentului și declanșarea procedurii de expropriere a imobilelor proprietate privată care constituie coridorul de expropriere al obiectivului de investiții </w:t>
            </w:r>
            <w:r w:rsidRPr="00D6340D">
              <w:t>,,</w:t>
            </w:r>
            <w:r w:rsidR="000B0564" w:rsidRPr="000B0564">
              <w:t xml:space="preserve">Trecerea la tensiunea de 400 kV a axului </w:t>
            </w:r>
            <w:r w:rsidR="000B0564" w:rsidRPr="000B0564">
              <w:lastRenderedPageBreak/>
              <w:t>Porțile de Fier-Reșița-Timișoara-Săcălaz-Arad/LEA 400 kV Porțile de Fier-Anina-Reșița</w:t>
            </w:r>
            <w:r w:rsidRPr="00D6340D">
              <w:t>”;</w:t>
            </w:r>
          </w:p>
          <w:p w14:paraId="56F58B83" w14:textId="1CA0329B" w:rsidR="000B0564" w:rsidRDefault="000B0564" w:rsidP="00191E1B">
            <w:pPr>
              <w:autoSpaceDE w:val="0"/>
              <w:autoSpaceDN w:val="0"/>
              <w:adjustRightInd w:val="0"/>
              <w:jc w:val="both"/>
            </w:pPr>
            <w:r>
              <w:t>- Ordinul ministrului economiei, comerțului și relațiilor cu mediul de afaceri nr. 789/2016 privind aprobarea indicatorilor tehnico-economici ai obiectivului de investiții ,,</w:t>
            </w:r>
            <w:r w:rsidRPr="000B0564">
              <w:t>Trecerea la tensiunea de 400 kV a axului Porțile de Fier-Reșița-Timișoara-Săcălaz-Arad/LEA 400 kV Porțile de Fier-Anina-Reșița”</w:t>
            </w:r>
          </w:p>
          <w:p w14:paraId="48C22978" w14:textId="5908A391" w:rsidR="000B0564" w:rsidRPr="00AB4FB8" w:rsidRDefault="00413466" w:rsidP="00191E1B">
            <w:pPr>
              <w:autoSpaceDE w:val="0"/>
              <w:autoSpaceDN w:val="0"/>
              <w:adjustRightInd w:val="0"/>
              <w:jc w:val="both"/>
              <w:rPr>
                <w:lang w:val="en-GB"/>
              </w:rPr>
            </w:pPr>
            <w:r>
              <w:t>- Acordul de mediu</w:t>
            </w:r>
            <w:r w:rsidR="00EE63F6">
              <w:t xml:space="preserve"> nr. 6/21.11.2013 emis de către Agenția Națională pentru Protecția Mediului</w:t>
            </w:r>
            <w:r w:rsidR="00AB4FB8">
              <w:rPr>
                <w:lang w:val="en-GB"/>
              </w:rPr>
              <w:t>;</w:t>
            </w:r>
          </w:p>
          <w:p w14:paraId="32E9AD43" w14:textId="5741AB03" w:rsidR="00191E1B" w:rsidRPr="002F528A" w:rsidRDefault="00191E1B" w:rsidP="00191E1B">
            <w:pPr>
              <w:autoSpaceDE w:val="0"/>
              <w:autoSpaceDN w:val="0"/>
              <w:adjustRightInd w:val="0"/>
              <w:jc w:val="both"/>
              <w:rPr>
                <w:color w:val="FF0000"/>
              </w:rPr>
            </w:pPr>
            <w:r w:rsidRPr="002F528A">
              <w:rPr>
                <w:color w:val="FF0000"/>
              </w:rPr>
              <w:t xml:space="preserve"> </w:t>
            </w:r>
            <w:r w:rsidRPr="00AB4FB8">
              <w:t xml:space="preserve">- Decizia de expropriere nr. </w:t>
            </w:r>
            <w:r w:rsidR="00AB4FB8" w:rsidRPr="00AB4FB8">
              <w:t>102</w:t>
            </w:r>
            <w:r w:rsidRPr="00AB4FB8">
              <w:t>/1</w:t>
            </w:r>
            <w:r w:rsidR="00AB4FB8" w:rsidRPr="00AB4FB8">
              <w:t>0</w:t>
            </w:r>
            <w:r w:rsidRPr="00AB4FB8">
              <w:t>.0</w:t>
            </w:r>
            <w:r w:rsidR="00AB4FB8" w:rsidRPr="00AB4FB8">
              <w:t>7</w:t>
            </w:r>
            <w:r w:rsidRPr="00AB4FB8">
              <w:t>.201</w:t>
            </w:r>
            <w:r w:rsidR="00AB4FB8" w:rsidRPr="00AB4FB8">
              <w:t>7</w:t>
            </w:r>
            <w:r w:rsidRPr="00AB4FB8">
              <w:t xml:space="preserve"> emisă de Compania Naţională de Transport al Energiei Electrice Transelectrica S.A.;</w:t>
            </w:r>
          </w:p>
          <w:p w14:paraId="133A659A" w14:textId="6D339F7B" w:rsidR="00191E1B" w:rsidRDefault="00191E1B" w:rsidP="00191E1B">
            <w:pPr>
              <w:autoSpaceDE w:val="0"/>
              <w:autoSpaceDN w:val="0"/>
              <w:adjustRightInd w:val="0"/>
              <w:jc w:val="both"/>
            </w:pPr>
            <w:r w:rsidRPr="00D6340D">
              <w:t xml:space="preserve">- Avizul </w:t>
            </w:r>
            <w:r w:rsidR="002F528A">
              <w:t>Gărzii Forestiere</w:t>
            </w:r>
            <w:r w:rsidRPr="00D6340D">
              <w:t xml:space="preserve"> Timişoara nr. </w:t>
            </w:r>
            <w:r w:rsidR="00E615A9">
              <w:t>11760</w:t>
            </w:r>
            <w:r w:rsidRPr="00D6340D">
              <w:t>/</w:t>
            </w:r>
            <w:r>
              <w:t>0</w:t>
            </w:r>
            <w:r w:rsidR="00E615A9">
              <w:t>1</w:t>
            </w:r>
            <w:r w:rsidRPr="00D6340D">
              <w:t>.</w:t>
            </w:r>
            <w:r w:rsidR="00E615A9">
              <w:t>11</w:t>
            </w:r>
            <w:r w:rsidRPr="00D6340D">
              <w:t>.201</w:t>
            </w:r>
            <w:r w:rsidR="002F528A">
              <w:t>8</w:t>
            </w:r>
            <w:r w:rsidRPr="00D6340D">
              <w:t>;</w:t>
            </w:r>
          </w:p>
          <w:p w14:paraId="67567DFE" w14:textId="185BE1C6" w:rsidR="002F528A" w:rsidRDefault="002F528A" w:rsidP="00191E1B">
            <w:pPr>
              <w:autoSpaceDE w:val="0"/>
              <w:autoSpaceDN w:val="0"/>
              <w:adjustRightInd w:val="0"/>
              <w:jc w:val="both"/>
            </w:pPr>
            <w:r w:rsidRPr="00D6340D">
              <w:t xml:space="preserve">- Avizul </w:t>
            </w:r>
            <w:r>
              <w:t>Gărzii Forestiere</w:t>
            </w:r>
            <w:r w:rsidRPr="00D6340D">
              <w:t xml:space="preserve"> </w:t>
            </w:r>
            <w:r>
              <w:t>Râmnicu Vâlcea</w:t>
            </w:r>
            <w:r w:rsidRPr="00D6340D">
              <w:t xml:space="preserve"> nr. </w:t>
            </w:r>
            <w:r w:rsidR="00E615A9">
              <w:t>21</w:t>
            </w:r>
            <w:r w:rsidRPr="00D6340D">
              <w:t>/</w:t>
            </w:r>
            <w:r>
              <w:t>0</w:t>
            </w:r>
            <w:r w:rsidR="00E615A9">
              <w:t>1</w:t>
            </w:r>
            <w:r w:rsidRPr="00D6340D">
              <w:t>.</w:t>
            </w:r>
            <w:r w:rsidR="00E615A9">
              <w:t>11</w:t>
            </w:r>
            <w:r w:rsidRPr="00D6340D">
              <w:t>.201</w:t>
            </w:r>
            <w:r>
              <w:t>8</w:t>
            </w:r>
            <w:r w:rsidRPr="00D6340D">
              <w:t>;</w:t>
            </w:r>
          </w:p>
          <w:p w14:paraId="1E482A9A" w14:textId="0FD13A6A" w:rsidR="002F528A" w:rsidRPr="00D6340D" w:rsidRDefault="002F528A" w:rsidP="00191E1B">
            <w:pPr>
              <w:autoSpaceDE w:val="0"/>
              <w:autoSpaceDN w:val="0"/>
              <w:adjustRightInd w:val="0"/>
              <w:jc w:val="both"/>
            </w:pPr>
            <w:r>
              <w:t>- Avizul Regiei Naționale a Pădurilor – Romsilva nr. 454/15.09.2017</w:t>
            </w:r>
            <w:r w:rsidRPr="00D6340D">
              <w:t>;</w:t>
            </w:r>
          </w:p>
          <w:p w14:paraId="0C9B0DB5" w14:textId="47FB8E61" w:rsidR="00EE63F6" w:rsidRDefault="00EE63F6" w:rsidP="00191E1B">
            <w:pPr>
              <w:autoSpaceDE w:val="0"/>
              <w:autoSpaceDN w:val="0"/>
              <w:adjustRightInd w:val="0"/>
              <w:jc w:val="both"/>
            </w:pPr>
            <w:r>
              <w:t>- Hotărârea Consiliului Local al comunei Prigor nr. 12/28.02.2018</w:t>
            </w:r>
          </w:p>
          <w:p w14:paraId="1891FCD4" w14:textId="325FEE6C" w:rsidR="00EE63F6" w:rsidRPr="00ED51DC" w:rsidRDefault="00EE63F6" w:rsidP="00191E1B">
            <w:pPr>
              <w:autoSpaceDE w:val="0"/>
              <w:autoSpaceDN w:val="0"/>
              <w:adjustRightInd w:val="0"/>
              <w:jc w:val="both"/>
            </w:pPr>
            <w:r>
              <w:t xml:space="preserve">- Hotărârea Consiliului Local al comunei Mehadia nr.12/30.01.2018 </w:t>
            </w:r>
            <w:r w:rsidR="006467CD">
              <w:t>și adresa Primăriei comunei Mehadia nr. 286/02.02.2018</w:t>
            </w:r>
            <w:r w:rsidR="00AB4FB8">
              <w:t>;</w:t>
            </w:r>
          </w:p>
          <w:p w14:paraId="661D1380" w14:textId="254A7748" w:rsidR="00191E1B" w:rsidRDefault="006467CD" w:rsidP="00191E1B">
            <w:pPr>
              <w:autoSpaceDE w:val="0"/>
              <w:autoSpaceDN w:val="0"/>
              <w:adjustRightInd w:val="0"/>
              <w:jc w:val="both"/>
            </w:pPr>
            <w:r>
              <w:t>- Hotărârea Consiliului Local al comunei Iablanița nr.5/30.01.2018 și adresa Primăriei comunei Iablanița nr. 111/31.01.2018</w:t>
            </w:r>
            <w:r w:rsidR="00AB4FB8">
              <w:t>;</w:t>
            </w:r>
          </w:p>
          <w:p w14:paraId="1ACF1515" w14:textId="34CEDB06" w:rsidR="006467CD" w:rsidRDefault="006467CD" w:rsidP="00191E1B">
            <w:pPr>
              <w:autoSpaceDE w:val="0"/>
              <w:autoSpaceDN w:val="0"/>
              <w:adjustRightInd w:val="0"/>
              <w:jc w:val="both"/>
            </w:pPr>
            <w:r>
              <w:t>- Hotărârea Consiliului Local al comunei Bozovici nr. 2/31.01.2018</w:t>
            </w:r>
            <w:r w:rsidR="00AB4FB8">
              <w:t>;</w:t>
            </w:r>
          </w:p>
          <w:p w14:paraId="4FA02242" w14:textId="47254CD7" w:rsidR="00F06DFC" w:rsidRDefault="006467CD" w:rsidP="00191E1B">
            <w:pPr>
              <w:autoSpaceDE w:val="0"/>
              <w:autoSpaceDN w:val="0"/>
              <w:adjustRightInd w:val="0"/>
              <w:jc w:val="both"/>
            </w:pPr>
            <w:r>
              <w:t>- Hotărârea Consiliului Local al comunei Topleț nr. 7/15.02.2018</w:t>
            </w:r>
          </w:p>
          <w:p w14:paraId="5A9A8DED" w14:textId="77777777" w:rsidR="002F528A" w:rsidRDefault="00191E1B" w:rsidP="00191E1B">
            <w:pPr>
              <w:autoSpaceDE w:val="0"/>
              <w:autoSpaceDN w:val="0"/>
              <w:adjustRightInd w:val="0"/>
              <w:jc w:val="both"/>
            </w:pPr>
            <w:r>
              <w:t xml:space="preserve">         </w:t>
            </w:r>
          </w:p>
          <w:p w14:paraId="0481F989" w14:textId="08527112" w:rsidR="00191E1B" w:rsidRPr="00D6340D" w:rsidRDefault="00191E1B" w:rsidP="00191E1B">
            <w:pPr>
              <w:autoSpaceDE w:val="0"/>
              <w:autoSpaceDN w:val="0"/>
              <w:adjustRightInd w:val="0"/>
              <w:jc w:val="both"/>
            </w:pPr>
            <w:r>
              <w:t>Realizarea obiectivului ,,</w:t>
            </w:r>
            <w:r w:rsidR="007C0A6B" w:rsidRPr="007C0A6B">
              <w:t>Trecerea la tensiunea de 400 kV a axului Porțile de Fier-Reșița-Timișoara-Săcălaz-Arad/LEA 400 kV Porțile de Fier-Anina-Reșița</w:t>
            </w:r>
            <w:r>
              <w:t>” se încadrează la excepţiile pentru care se permite reducerea suprafeţei fondului forestier naţional prevăzute la art. 36</w:t>
            </w:r>
            <w:r w:rsidR="00FF357C">
              <w:t xml:space="preserve"> și la art. 37 alin. 1 lit. e) și f)</w:t>
            </w:r>
            <w:r>
              <w:t xml:space="preserve"> din Legea nr. 46/2008 Codul silvic</w:t>
            </w:r>
            <w:r w:rsidR="007C0A6B">
              <w:t>, republicată, cu modificările și completările ulterioare</w:t>
            </w:r>
            <w:r>
              <w:t>.</w:t>
            </w:r>
          </w:p>
          <w:p w14:paraId="169EA319" w14:textId="77777777" w:rsidR="007C0A6B" w:rsidRDefault="00191E1B" w:rsidP="00191E1B">
            <w:pPr>
              <w:autoSpaceDE w:val="0"/>
              <w:autoSpaceDN w:val="0"/>
              <w:adjustRightInd w:val="0"/>
              <w:jc w:val="both"/>
            </w:pPr>
            <w:r w:rsidRPr="00D6340D">
              <w:t xml:space="preserve"> </w:t>
            </w:r>
            <w:r>
              <w:t xml:space="preserve">       </w:t>
            </w:r>
          </w:p>
          <w:p w14:paraId="0449B7F6" w14:textId="7370BA4C" w:rsidR="00FF357C" w:rsidRPr="00FF357C" w:rsidRDefault="00191E1B" w:rsidP="001615CD">
            <w:pPr>
              <w:autoSpaceDE w:val="0"/>
              <w:autoSpaceDN w:val="0"/>
              <w:adjustRightInd w:val="0"/>
              <w:jc w:val="both"/>
            </w:pPr>
            <w:r>
              <w:t>Pentru realizarea obiectivului ,,</w:t>
            </w:r>
            <w:r w:rsidR="007C0A6B" w:rsidRPr="007C0A6B">
              <w:t>Trecerea la tensiunea de 400 kV a axului Porțile de Fier-Reșița-Timișoara-Săcălaz-Arad/LEA 400 kV Porțile de Fier-Anina-Reșița</w:t>
            </w:r>
            <w:r>
              <w:t xml:space="preserve">” este necesară </w:t>
            </w:r>
            <w:r w:rsidR="00FF357C" w:rsidRPr="00FF357C">
              <w:t>scoater</w:t>
            </w:r>
            <w:r w:rsidR="00FF357C">
              <w:t>ea</w:t>
            </w:r>
            <w:r w:rsidR="00FF357C" w:rsidRPr="00FF357C">
              <w:t xml:space="preserve"> definitiv</w:t>
            </w:r>
            <w:r w:rsidR="00FF357C">
              <w:t>ă</w:t>
            </w:r>
            <w:r w:rsidR="00FF357C" w:rsidRPr="00FF357C">
              <w:t xml:space="preserve"> din fondul forestier naţional a terenului în suprafaţă de 1,0517 ha, ocup</w:t>
            </w:r>
            <w:r w:rsidR="001615CD">
              <w:t>area</w:t>
            </w:r>
            <w:r w:rsidR="00FF357C" w:rsidRPr="00FF357C">
              <w:t xml:space="preserve"> temporare pe o perioadă de 10 ani a terenului din fondul forestier național în suprafață de 146,0177 ha și ocup</w:t>
            </w:r>
            <w:r w:rsidR="001615CD">
              <w:t>area</w:t>
            </w:r>
            <w:r w:rsidR="00FF357C" w:rsidRPr="00FF357C">
              <w:t xml:space="preserve"> temporar</w:t>
            </w:r>
            <w:r w:rsidR="001615CD">
              <w:t>ă</w:t>
            </w:r>
            <w:r w:rsidR="00FF357C" w:rsidRPr="00FF357C">
              <w:t xml:space="preserve"> pentru o perioadă de 2 ani a terenului din fondul forestier național în suprafață de 4,3016 ha de către Compania Naţională de Transport al Energiei Electrice Transelectrica S.A.”</w:t>
            </w:r>
          </w:p>
          <w:p w14:paraId="5448B4B7" w14:textId="77777777" w:rsidR="00FF357C" w:rsidRDefault="00FF357C" w:rsidP="00191E1B">
            <w:pPr>
              <w:autoSpaceDE w:val="0"/>
              <w:autoSpaceDN w:val="0"/>
              <w:adjustRightInd w:val="0"/>
              <w:jc w:val="both"/>
            </w:pPr>
          </w:p>
          <w:p w14:paraId="0E5C9376" w14:textId="0DA8CC69" w:rsidR="001615CD" w:rsidRPr="006E27E2" w:rsidRDefault="001615CD" w:rsidP="006A1A4B">
            <w:pPr>
              <w:pStyle w:val="ListParagraph"/>
              <w:numPr>
                <w:ilvl w:val="0"/>
                <w:numId w:val="17"/>
              </w:numPr>
              <w:ind w:right="59"/>
              <w:jc w:val="both"/>
            </w:pPr>
            <w:r w:rsidRPr="006E27E2">
              <w:t xml:space="preserve">Terenul în suprafaţă de 1,0517 ha care se scoate din fondul forestier este </w:t>
            </w:r>
          </w:p>
          <w:p w14:paraId="69134616" w14:textId="67A96E13" w:rsidR="001615CD" w:rsidRPr="006E27E2" w:rsidRDefault="001615CD" w:rsidP="00DA3BEF">
            <w:pPr>
              <w:jc w:val="both"/>
            </w:pPr>
            <w:r w:rsidRPr="006E27E2">
              <w:t>compus din terenul în suprafaţă de 0,7366 ha proprietate publică a statului și din terenul în suprafață de 0,3151 ha proprietate publică a unităților administrativ teritoriale.</w:t>
            </w:r>
          </w:p>
          <w:p w14:paraId="4CBF4860" w14:textId="2AD04242" w:rsidR="001615CD" w:rsidRPr="006E27E2" w:rsidRDefault="001615CD" w:rsidP="009819A7">
            <w:pPr>
              <w:pStyle w:val="ListParagraph"/>
              <w:numPr>
                <w:ilvl w:val="0"/>
                <w:numId w:val="12"/>
              </w:numPr>
              <w:ind w:left="1" w:firstLine="360"/>
              <w:jc w:val="both"/>
            </w:pPr>
            <w:r w:rsidRPr="006E27E2">
              <w:t>Terenul în suprafaţă de 0,7366 ha, proprietate publică a statului este administrat de Regia Naţională a Pădurilor – Romsilva și este amplasat după cum urmează:</w:t>
            </w:r>
          </w:p>
          <w:p w14:paraId="614864B6" w14:textId="77777777" w:rsidR="001615CD" w:rsidRPr="006E27E2" w:rsidRDefault="001615CD" w:rsidP="00DA3BEF">
            <w:pPr>
              <w:ind w:firstLine="721"/>
              <w:jc w:val="both"/>
            </w:pPr>
            <w:r w:rsidRPr="006E27E2">
              <w:t xml:space="preserve">a) 0,1069 ha pe raza Ocolului Silvic Băile Herculane, Direcția Silvică Caraș Severin, în U.P. II Iardastita u.a. 99% = 0,0125 ha, u.a. 100A% = 0,0351 ha,  u.a. 105% = 0,0070 ha, u.a. 108% = 0,0106 ha, u.a. 110% = 0,0110 ha, u.a. 112A% = 0,0169 ha, în U.P. VI Domoled u.a. 159A% = 0,0079 ha, u.a. 163B% = 0,0059 ha; </w:t>
            </w:r>
          </w:p>
          <w:p w14:paraId="314C9227" w14:textId="77777777" w:rsidR="001615CD" w:rsidRPr="006E27E2" w:rsidRDefault="001615CD" w:rsidP="00DA3BEF">
            <w:pPr>
              <w:ind w:firstLine="721"/>
              <w:jc w:val="both"/>
            </w:pPr>
            <w:r w:rsidRPr="006E27E2">
              <w:t>b) 0,1045 ha pe raza Ocolului Silvic Mehadia, Direcția Silvică Caraș Severin, în U.P. I Sfardin u.a. 8C% = 0,0067 ha, u.a. 9B% = 0,0111 ha, u.a. 15A% = 0,0129 ha, u.a. 15F% = 0,0125 ha,  u.a. 17A% = 0,0067 ha, u.a. 9B% = 0,0111 ha, u.a. 25B% = 0,0062 ha, u.a. 26A% = 0,0114 ha, u.a. 26M% = 0,0136 ha, u.a.27M% = 0,0067 ha, u.a.28C% = 0,0044 ha şi u.a. 28M1% = 0,0125 ha;</w:t>
            </w:r>
          </w:p>
          <w:p w14:paraId="618FBB8E" w14:textId="77777777" w:rsidR="001615CD" w:rsidRPr="006E27E2" w:rsidRDefault="001615CD" w:rsidP="00DA3BEF">
            <w:pPr>
              <w:ind w:firstLine="721"/>
              <w:jc w:val="both"/>
            </w:pPr>
            <w:r w:rsidRPr="006E27E2">
              <w:lastRenderedPageBreak/>
              <w:t>c) 0,0624 ha pe raza Ocolului Silvic Bozovici, Direcția Silvică Caraș Severin, în U.P. IV Tăria u.a. 9A% = 0,0067 ha, u.a. 9B% = 0,0111 ha, u.a. 15A% = 0,0129 ha, u.a. 15F% = 0,0125 ha,  u.a. 17A% = 0,0067 ha, u.a. 17C% = 0,0125 ha;</w:t>
            </w:r>
          </w:p>
          <w:p w14:paraId="621B2B2C" w14:textId="77777777" w:rsidR="001615CD" w:rsidRPr="006E27E2" w:rsidRDefault="001615CD" w:rsidP="00DA3BEF">
            <w:pPr>
              <w:ind w:firstLine="721"/>
              <w:jc w:val="both"/>
            </w:pPr>
            <w:r w:rsidRPr="006E27E2">
              <w:t>d) 0,1183 ha pe raza Ocolului Silvic Anina, Direcția Silvică Caraș Severin, în U.P. III Steierdof, u.a. 55B% = 0,0051 ha, 55R% = 0,0136 ha, u.a. 57A% = 0,0051 ha, u.a.60% = 0,0172 ha, u.a. 70B% = 0,0125 ha,    u.a. 70C% = 0,0059 ha, u.a.73B% = 0,0067 ha, u.a. 78B% = 0,0070 ha, u.a.79% = 0,0089 ha, u.a. 85% = 0,0195 ha, u.a. 89A% = 0,0089 ha, u.a.92% = 0,0063 ha și u.a. 93C% = 0,0016 ha;</w:t>
            </w:r>
          </w:p>
          <w:p w14:paraId="4754291A" w14:textId="77777777" w:rsidR="001615CD" w:rsidRPr="00841C76" w:rsidRDefault="001615CD" w:rsidP="00DA3BEF">
            <w:pPr>
              <w:ind w:firstLine="721"/>
              <w:jc w:val="both"/>
            </w:pPr>
            <w:r w:rsidRPr="00841C76">
              <w:rPr>
                <w:color w:val="4472C4" w:themeColor="accent1"/>
              </w:rPr>
              <w:t>e)</w:t>
            </w:r>
            <w:r w:rsidRPr="006E27E2">
              <w:rPr>
                <w:color w:val="5B9BD5" w:themeColor="accent5"/>
              </w:rPr>
              <w:t xml:space="preserve"> </w:t>
            </w:r>
            <w:r w:rsidRPr="00841C76">
              <w:t xml:space="preserve">0,3445 ha pe raza Ocolului Silvic Turnu Severin, Direcția Silvică Mehedinți în U.P. I Racovăț </w:t>
            </w:r>
            <w:r w:rsidRPr="00841C76">
              <w:rPr>
                <w:color w:val="4472C4" w:themeColor="accent1"/>
              </w:rPr>
              <w:t>u.a.79%= 0,0006 ha</w:t>
            </w:r>
            <w:r w:rsidRPr="00841C76">
              <w:t>, u.a.82B%=0,0317 ha, 83E%= 0,0067 ha, u.a.84D%=0,0056 ha, u.a 84E%=0,0011 ha, 108E%=0,0177ha, în U.P. III Bahna u.a.8B%=0,0044 ha, u.a.10C%= 0,0067 ha, u.a.104B%= 0,0079 ha, u.a.104C%=0,0059 ha, în U.P. IV Vodița u.a. 17A%=0,0101 ha, u.a.33C%= 0,0079ha, 33D%=0,0172 ha, u.a.34E%= 0,0070 ha, u.a.37E%= 0,0125 ha, u.a.68A%= 0,0261 ha, u.a. 68B% = 0,0067 ha, u.a.72C% = 0,0089 ha, u.a.73C% = 0,0018 ha, u.a.73E%=0,0131 ha, u.a.90B%= 0,0136 ha, u.a.92A% = 0,0188 ha, u.a.92C% = 0,0024 ha, u.a.92R4%=0,0040 ha în U.P. V Jidoștița u.a.3E% = 0,0109 ha, u.a.3R3% = 0,0026 ha, u.a.4B% = 0,0059 ha, u.a.4C%=0,0089 ha, u.a.5B%= 0,0079 ha, u.a.16A%= 0,0149 ha, u.a.17A%=0,0079 ha, u.a.17B%=0,0051 ha, u.a.24D%= 0,0067 ha, u.a.25A% = 0,0067 ha, u.a.25B%= 0,0051 ha, u.a.26D%=0,0110 ha, u.a.66B% = 0,0125ha.</w:t>
            </w:r>
          </w:p>
          <w:p w14:paraId="24CC8E1E" w14:textId="3FF33249" w:rsidR="001615CD" w:rsidRPr="006E27E2" w:rsidRDefault="001615CD" w:rsidP="009819A7">
            <w:pPr>
              <w:pStyle w:val="ListParagraph"/>
              <w:numPr>
                <w:ilvl w:val="0"/>
                <w:numId w:val="12"/>
              </w:numPr>
              <w:ind w:left="1" w:firstLine="450"/>
              <w:jc w:val="both"/>
            </w:pPr>
            <w:r w:rsidRPr="006E27E2">
              <w:t>Terenul în suprafaţă de 0,3151 ha, proprietate publică a unităților administrativ teritoriale este amplasat după cum urmează:</w:t>
            </w:r>
          </w:p>
          <w:p w14:paraId="5674E96B" w14:textId="6C8865FF" w:rsidR="001615CD" w:rsidRPr="006E27E2" w:rsidRDefault="001615CD" w:rsidP="00DA3BEF">
            <w:pPr>
              <w:ind w:firstLine="721"/>
              <w:jc w:val="both"/>
            </w:pPr>
            <w:r w:rsidRPr="006E27E2">
              <w:t xml:space="preserve">a) 0,1087 ha  </w:t>
            </w:r>
            <w:bookmarkStart w:id="0" w:name="_Hlk509392577"/>
            <w:r w:rsidRPr="006E27E2">
              <w:t>fond forestier proprietate publică a U.A.T. Mehadia, administrat de Direcția Silvică Caraș-Severin prin Ocolul Silvic Mehadia, localizat în U.B.Mehadia</w:t>
            </w:r>
            <w:bookmarkEnd w:id="0"/>
            <w:r w:rsidRPr="006E27E2">
              <w:t>: u.a.3A%=0,0231 ha, u.a.21A%=0,0214 ha, u.a.22A%=0,0059 ha, u.a.22B%=0,0188 ha, u.a.23%=0,0103 ha, u.a.356E%=0,0136 ha, u.a.357%=0,0067 ha, u.a.358%=0,0089 ha;</w:t>
            </w:r>
          </w:p>
          <w:p w14:paraId="5E2B9A84" w14:textId="51E7FC6B" w:rsidR="001615CD" w:rsidRPr="006E27E2" w:rsidRDefault="001615CD" w:rsidP="00DA3BEF">
            <w:pPr>
              <w:ind w:firstLine="721"/>
              <w:jc w:val="both"/>
            </w:pPr>
            <w:r w:rsidRPr="006E27E2">
              <w:t>b) 0,0774 ha fond forestier proprietate publică a U.A.T. Iablanița, administrat de Direcția Silvică Caraș-Severin prin Ocolul Silvic Mehadia localizat în U.B.Iablanița: u.a.25%=0,0125 ha, u.a.26%=0,0044 ha, u.a.27D%=0,0234 ha, u.a.56C%=0,0188 ha, u.a.211A%=0,0183 ha;</w:t>
            </w:r>
          </w:p>
          <w:p w14:paraId="49D3A254" w14:textId="21A83E66" w:rsidR="001615CD" w:rsidRPr="006E27E2" w:rsidRDefault="001615CD" w:rsidP="00DA3BEF">
            <w:pPr>
              <w:ind w:firstLine="721"/>
              <w:jc w:val="both"/>
            </w:pPr>
            <w:r w:rsidRPr="006E27E2">
              <w:t>c) 0,0347 ha fond forestier proprietate publică a U.A.T. Topleț (0,0347 ha), administrat de Direcția Silvică Caraș-Severin prin Ocolul Silvic Băile Herculane localizat în U.B.I Topleț: u.a.9%=0,0162 ha, u.a.10B%=0,0067 ha, u.a.11B%=0,0118 ha;</w:t>
            </w:r>
          </w:p>
          <w:p w14:paraId="57074B54" w14:textId="3D711489" w:rsidR="001615CD" w:rsidRPr="006E27E2" w:rsidRDefault="001615CD" w:rsidP="00DA3BEF">
            <w:pPr>
              <w:ind w:firstLine="721"/>
              <w:jc w:val="both"/>
            </w:pPr>
            <w:r w:rsidRPr="006E27E2">
              <w:t>d) 0,0943 ha fond forestier proprietate publică a U.A.T. Bozovici administrat de R.P.L. Ocolul Silvic Bănia R.A., localizat în T.P.Bozovici; u.a.73C%=0,0149 ha, u.a.47A%=0,0059 ha, u.a.25%=0,0067 ha, u.a.30A%=0,0067 ha, u.a.17A%=0,007 ha, u.a.16B%=0,0246 ha, u.a.11%=0,0051 ha, u.a.9B%=0,0234 ha.</w:t>
            </w:r>
          </w:p>
          <w:p w14:paraId="557AF16A" w14:textId="688C62AC" w:rsidR="001615CD" w:rsidRPr="006E27E2" w:rsidRDefault="001615CD" w:rsidP="00191E1B">
            <w:pPr>
              <w:pStyle w:val="ListParagraph"/>
              <w:ind w:left="13" w:right="59" w:firstLine="708"/>
              <w:jc w:val="both"/>
            </w:pPr>
          </w:p>
          <w:p w14:paraId="0E9B236C" w14:textId="470580F1" w:rsidR="008178BC" w:rsidRPr="006E27E2" w:rsidRDefault="008178BC" w:rsidP="009819A7">
            <w:pPr>
              <w:pStyle w:val="ListParagraph"/>
              <w:numPr>
                <w:ilvl w:val="0"/>
                <w:numId w:val="17"/>
              </w:numPr>
              <w:ind w:left="0" w:right="59" w:firstLine="361"/>
              <w:jc w:val="both"/>
            </w:pPr>
            <w:r w:rsidRPr="006E27E2">
              <w:t xml:space="preserve">Terenul în suprafaţă de 146,0177 ha care se </w:t>
            </w:r>
            <w:r w:rsidR="00653DB3" w:rsidRPr="006E27E2">
              <w:t xml:space="preserve">ocupă pentru o perioadă de 10 ani </w:t>
            </w:r>
            <w:r w:rsidRPr="006E27E2">
              <w:t>este compus din terenul în suprafaţă de 104,3808 ha proprietate publică a statului, din terenul în suprafață de 37,9142 ha proprietate publică a unităților administrativ teritoriale și din terenul în suprafaţă de 3,7227 ha proprietate a persoanelor fizice.</w:t>
            </w:r>
          </w:p>
          <w:p w14:paraId="677F4BF6" w14:textId="12834FD9" w:rsidR="008178BC" w:rsidRPr="006E27E2" w:rsidRDefault="008178BC" w:rsidP="009819A7">
            <w:pPr>
              <w:pStyle w:val="BodyText3"/>
              <w:numPr>
                <w:ilvl w:val="0"/>
                <w:numId w:val="15"/>
              </w:numPr>
              <w:ind w:left="1" w:firstLine="360"/>
              <w:jc w:val="both"/>
              <w:rPr>
                <w:sz w:val="24"/>
                <w:szCs w:val="24"/>
              </w:rPr>
            </w:pPr>
            <w:r w:rsidRPr="006E27E2">
              <w:rPr>
                <w:sz w:val="24"/>
                <w:szCs w:val="24"/>
              </w:rPr>
              <w:t xml:space="preserve">Terenul în suprafaţă de </w:t>
            </w:r>
            <w:r w:rsidRPr="00841C76">
              <w:rPr>
                <w:sz w:val="24"/>
                <w:szCs w:val="24"/>
              </w:rPr>
              <w:t xml:space="preserve">104,3808 ha </w:t>
            </w:r>
            <w:r w:rsidRPr="006E27E2">
              <w:rPr>
                <w:sz w:val="24"/>
                <w:szCs w:val="24"/>
              </w:rPr>
              <w:t>proprietate publică a statului este administrat de Regia Națională a Pădurilor-Romsilva și este amplasat după cum urmează:</w:t>
            </w:r>
          </w:p>
          <w:p w14:paraId="19921C59" w14:textId="77777777" w:rsidR="008178BC" w:rsidRPr="006E27E2" w:rsidRDefault="008178BC" w:rsidP="008178BC">
            <w:pPr>
              <w:pStyle w:val="ListParagraph"/>
              <w:numPr>
                <w:ilvl w:val="0"/>
                <w:numId w:val="14"/>
              </w:numPr>
              <w:ind w:left="0" w:firstLine="720"/>
              <w:jc w:val="both"/>
            </w:pPr>
            <w:r w:rsidRPr="006E27E2">
              <w:t xml:space="preserve">18,8122 ha pe raza Ocolului Silvic Băile Herculane, Direcția Silvică Caraș-Severin, localizat în U.P. II Iardastita: u.a.99%=3,4326 ha, </w:t>
            </w:r>
            <w:r w:rsidRPr="006E27E2">
              <w:lastRenderedPageBreak/>
              <w:t>u.a.100A%=3,4477 ha, u.a.105%=2,0155ha, u.a.107%=1,1481 ha, u.a.108%=2,3273 ha, u.a.110%=3,4821 ha, u.a.112A%=1,1267 ha și U.P. VI Domogled: u.a.153C%=0,1846 ha,u.a.158B%=0,2896 ha, u.a.159A%=0,1726 ha, u.a.163A%=0,2347 ha,  u.a.163B%=0,4113 ha; u.a.166B%=0,5394 ha;</w:t>
            </w:r>
          </w:p>
          <w:p w14:paraId="15563F1A" w14:textId="77777777" w:rsidR="008178BC" w:rsidRPr="006E27E2" w:rsidRDefault="008178BC" w:rsidP="008178BC">
            <w:pPr>
              <w:pStyle w:val="ListParagraph"/>
              <w:numPr>
                <w:ilvl w:val="0"/>
                <w:numId w:val="14"/>
              </w:numPr>
              <w:ind w:left="0" w:firstLine="720"/>
              <w:jc w:val="both"/>
            </w:pPr>
            <w:r w:rsidRPr="006E27E2">
              <w:t>11,1859 ha pe raza Ocolului Silvic Mehadia, Direcția Silvică Caraș-Severin, localizat în U.P.I Sfardin: u.a.4A%=0,0534 ha, u.a.8C%=1,0955 ha, u.a.9C%=0,5835 ha, u.a.13B%=0,0168 ha, u.a.14B%=0,0199 ha, u.a.15B%=0,2066 ha, u.a.15C%=0,3342 ha, u.a.15D%=0,8320 ha, u.a.15F%=0,0037 ha, u.a.16A%=1,5626 ha, u.a.16M%=0,7744 ha, u.a.19B%=0,5537 ha, u.a.21C%=0,3481 ha, u.a.25B%=1,1982 ha, u.a.25M%=0,0387 ha, u.a.26A%=1,6477 ha, u.a.26B%=0,2092 ha, u.a.26M%=0,6099 ha, u.a.27M%=0,0499 ha, u.a.28C%=0,3042 ha, u.a.28M1%=0,5357 ha și U.P.II Valea Craiovei: u.a.177%=0,2080 ha;</w:t>
            </w:r>
          </w:p>
          <w:p w14:paraId="28BF87D6" w14:textId="77777777" w:rsidR="008178BC" w:rsidRPr="006E27E2" w:rsidRDefault="008178BC" w:rsidP="008178BC">
            <w:pPr>
              <w:pStyle w:val="ListParagraph"/>
              <w:numPr>
                <w:ilvl w:val="0"/>
                <w:numId w:val="14"/>
              </w:numPr>
              <w:ind w:left="0" w:firstLine="720"/>
              <w:jc w:val="both"/>
            </w:pPr>
            <w:r w:rsidRPr="006E27E2">
              <w:t>6,1952 ha  pe raza Ocolului Silvic Bozovici,</w:t>
            </w:r>
            <w:r w:rsidRPr="006E27E2">
              <w:rPr>
                <w:color w:val="70AD47" w:themeColor="accent6"/>
              </w:rPr>
              <w:t xml:space="preserve"> </w:t>
            </w:r>
            <w:r w:rsidRPr="006E27E2">
              <w:t>Direcția Silvică Caraș-Severin, localizat în U.P. III Poneasca: u.a.1A%=0,1583 ha, u.a.1B%=0,3426 ha și U.P.IV Tăria: u.a.9A%=0,6029 ha, u.a.9B%=0,9355 ha, u.a. 10A%=0,2075 ha, u.a.14A%=0,5817 ha, u.a.15A%=1,3307 ha, u.a.15F%=0,3769 ha, u.a.17A%=0,3094 ha, u.a.17C%=0,7366 ha, u.a.50%=0,6131 ha;</w:t>
            </w:r>
          </w:p>
          <w:p w14:paraId="56CAE9D8" w14:textId="77777777" w:rsidR="008178BC" w:rsidRPr="006E27E2" w:rsidRDefault="008178BC" w:rsidP="008178BC">
            <w:pPr>
              <w:pStyle w:val="ListParagraph"/>
              <w:numPr>
                <w:ilvl w:val="0"/>
                <w:numId w:val="14"/>
              </w:numPr>
              <w:ind w:left="0" w:firstLine="720"/>
              <w:jc w:val="both"/>
            </w:pPr>
            <w:r w:rsidRPr="006E27E2">
              <w:t>20,9348 ha pe raza Ocolului Silvic Anina, Direcția Silvică Caraș-Severin, localizat în U.P. III Steierdorf: u.a.55B%=1,8963 ha, u.a.57A%=1,5878 ha, u.a.59A%=1,2963 ha, u.a.60%=3,3208 ha, u.a.70A%=0,2485 ha, u.a.70B%=0,7669 ha, u.a.70C%=0,8115 ha, u.a.73A%=0,3572 ha, u.a.73B%=1,3256 ha, u.a.78A%=0,4014 ha, u.a.78B%=0,1670 ha, u.a.79%=0,5698 ha, u.a .81%=1,9242 ha, u.a.85%=1,9148 ha, u.a.86A%=0,5455 ha, u.a.89A%=0,8322 ha, u.a.92%=1,9932 ha, u.a.93A%=0,0912 ha, u.a.93C%=0,2692 ha, u.a.94%=0,6154 ha;</w:t>
            </w:r>
          </w:p>
          <w:p w14:paraId="4179D9C9" w14:textId="7B93B01B" w:rsidR="008178BC" w:rsidRPr="00841C76" w:rsidRDefault="008178BC" w:rsidP="008178BC">
            <w:pPr>
              <w:pStyle w:val="ListParagraph"/>
              <w:numPr>
                <w:ilvl w:val="0"/>
                <w:numId w:val="14"/>
              </w:numPr>
              <w:ind w:left="0" w:firstLine="720"/>
              <w:jc w:val="both"/>
            </w:pPr>
            <w:r w:rsidRPr="00841C76">
              <w:t>47,2527 ha pe raza Ocolului Silvic Drobeta Turnu Severin, Direcția Silvică Mehedinți, în U.P. I Racovăț u.a.78A%= 0,7153 ha, u.a.82B%=4,1066 ha, u.a.83E%= 1,4802 ha, u.a.84B%= 0,0161 ha, u.a.84D% = 0,3363 ha, u.a.84E% = 0,2157 ha, u.a.85% = 0,0988 ha, u.a.108B%= 0,0021 ha, u.a.108E% = 1,0801 ha, în U.P. III Bahna u.a.7D%= 0,1741 ha, u.a.7E% = 0,3376 ha, u.a.8A% = 0,0009 ha, u.a. 8B% = 0,2886 ha, u.a.8C% = 0,4081 ha, u.a.8E% = 0,3192 ha, u.a. 10B% = 0,2451 ha, u.a.10C% = 2,0456 ha, u.a.11F% = 0,0068 ha, u.a. 11H% = 0,0078 ha, u.a.103A% = 0,3824 ha, u.a.104B% = 0,1847 ha, u.a.104C% = 1,9980 ha, u.a.104D% = 0,7347 ha, u.a.104E% = 0,4604 ha, în U.P. IV Vodișa u.a.17A% = 0,7254 ha, u.a.17E% = 0,0722 ha, u.a.33C% = 0,5356 ha, u.a.33D% = 0,6648 ha, u.a.34E% = 1,1175 ha, u.a.34F% = 0,2830 ha, u.a.35B% = 0,4568 ha, u.a.36B% = 0,5710 ha, u.a.37C% = 0,6989 ha, u.a.37E% = 0,1354 ha, u.a.68A% = 3,3257 ha, u.a.68B% = 0,8329 ha, u.a.72A% = 0,0434 ha, u.a.72C% = 0,4449 ha, u.a.73B% = 0,4394 ha, u.a.73C% = 1,1230 ha, u.a.73E% = 1,2128 ha, u.a.73F% = 0,2863 ha, u.a. 89C% = 0,1716 ha, u.a.90B% = 0,6658 ha, u.a.92A% = 0,3258 ha, u.a.92B% = 0,0036 ha, u.a.92E% = 0,1297 ha, u.a.92G%= 0,1255 ha, u.a.93A%= 0,5856 ha, în U.P. V Jidoștița u.a.3E% = 0,1282 ha, u.a.4B% = 0,9576 ha, u.a.4C% = 1,8183 ha, u.a.4D% = 0,4599 ha, u.a.5B% = 1,0402 ha, u.a.15A% = 0,3621 ha, u.a.15B% = 0,3551 ha, u.a.16A% = 0,4904 ha, u.a.17A% = 1,3815 ha, u.a.17B% = 0,9106 ha, u.a. 19D% = 0,0862 ha, u.a.24B% = 0,4621 ha, u.a. 24D% = 1,1753 ha, u.a.24G% = 0,1381 ha, u.a.25A% = 0,3780 ha, u.a. 25B% = 3,6961 ha, u.a.26B% = 0,0072 ha, u.a.26D% = 1,4818 ha, u.a.26E% = 0,0828 ha, u.a.66B% = 1,2194 ha.</w:t>
            </w:r>
          </w:p>
          <w:p w14:paraId="6BD7E60E" w14:textId="77777777" w:rsidR="00A81262" w:rsidRPr="00841C76" w:rsidRDefault="00A81262" w:rsidP="00A81262">
            <w:pPr>
              <w:pStyle w:val="ListParagraph"/>
              <w:jc w:val="both"/>
            </w:pPr>
          </w:p>
          <w:p w14:paraId="20EA320B" w14:textId="787CDF67" w:rsidR="008178BC" w:rsidRPr="00841C76" w:rsidRDefault="008178BC" w:rsidP="009819A7">
            <w:pPr>
              <w:pStyle w:val="BodyText3"/>
              <w:numPr>
                <w:ilvl w:val="0"/>
                <w:numId w:val="15"/>
              </w:numPr>
              <w:ind w:left="1" w:firstLine="450"/>
              <w:jc w:val="both"/>
              <w:rPr>
                <w:sz w:val="24"/>
                <w:szCs w:val="24"/>
              </w:rPr>
            </w:pPr>
            <w:r w:rsidRPr="00841C76">
              <w:rPr>
                <w:sz w:val="24"/>
                <w:szCs w:val="24"/>
              </w:rPr>
              <w:t>Terenul în suprafaţă de 37,9142 ha proprietate publică a unităților administrativ-teritoriale este amplasat după cum urmează:</w:t>
            </w:r>
          </w:p>
          <w:p w14:paraId="538E8CC3" w14:textId="77777777" w:rsidR="008178BC" w:rsidRPr="006E27E2" w:rsidRDefault="008178BC" w:rsidP="008178BC">
            <w:pPr>
              <w:pStyle w:val="ListParagraph"/>
              <w:numPr>
                <w:ilvl w:val="0"/>
                <w:numId w:val="13"/>
              </w:numPr>
              <w:ind w:left="0" w:firstLine="720"/>
              <w:jc w:val="both"/>
            </w:pPr>
            <w:r w:rsidRPr="006E27E2">
              <w:lastRenderedPageBreak/>
              <w:t>13,3784 ha fond forestier proprietate publică a U.A.T. Mehadia, în administrarea Direcției Silvice Caraș-Severin prin Ocolul Silvic Mehadia, localizat în U.B.Mehadia: u.a.2B%=0,0984 ha, u.a.3A%=2,9160 ha, u.a.21A%=1,5428 ha, u.a.22A%=2,0132 ha, u.a.22B%=1,2889 ha, u.a.23%=2,5307 ha, u.a.24B%=0,2714 ha,  u.a.356E%=1,3378 ha, u.a.357%=0,2715 ha, u.a.358%=1,1077 ha;</w:t>
            </w:r>
          </w:p>
          <w:p w14:paraId="1EBAFA98" w14:textId="77777777" w:rsidR="008178BC" w:rsidRPr="006E27E2" w:rsidRDefault="008178BC" w:rsidP="008178BC">
            <w:pPr>
              <w:numPr>
                <w:ilvl w:val="0"/>
                <w:numId w:val="13"/>
              </w:numPr>
              <w:ind w:left="0" w:firstLine="720"/>
              <w:jc w:val="both"/>
            </w:pPr>
            <w:r w:rsidRPr="006E27E2">
              <w:t>6,5011 ha fond forestier proprietate publică a U.A.T. Iablanița, în administrarea Direcției Silvice Caraș-Severin prin Ocolul Silvic Mehadia, localizat în U.B.Iablanița: u.a.25%=0,7142 ha, u.a.26%=0,4895 ha, u.a.27D%=1,4727 ha, u.a.39C%=0,1371 ha, u.a.56C%=1,5640 ha, u.a.211A%=2,1236 ha;</w:t>
            </w:r>
          </w:p>
          <w:p w14:paraId="062C6653" w14:textId="77777777" w:rsidR="008178BC" w:rsidRPr="006E27E2" w:rsidRDefault="008178BC" w:rsidP="008178BC">
            <w:pPr>
              <w:numPr>
                <w:ilvl w:val="0"/>
                <w:numId w:val="13"/>
              </w:numPr>
              <w:ind w:left="0" w:firstLine="720"/>
              <w:jc w:val="both"/>
            </w:pPr>
            <w:r w:rsidRPr="006E27E2">
              <w:t>0,3109 ha fond forestier proprietate publică a U.A.T.Prigor, în administrarea  Direcției Silvice Caraș-Severin prin Ocolul Silvic Nera, localizat în U.P. III Nerganita: u.a.108B%=0,3109 ha;</w:t>
            </w:r>
          </w:p>
          <w:p w14:paraId="705E2E1B" w14:textId="77777777" w:rsidR="008178BC" w:rsidRPr="006E27E2" w:rsidRDefault="008178BC" w:rsidP="008178BC">
            <w:pPr>
              <w:numPr>
                <w:ilvl w:val="0"/>
                <w:numId w:val="13"/>
              </w:numPr>
              <w:ind w:left="0" w:firstLine="720"/>
              <w:jc w:val="both"/>
            </w:pPr>
            <w:r w:rsidRPr="006E27E2">
              <w:t>4,4775 ha fond forestier proprietate publică a U.A.T. Topleț, în administrarea  Direcției Silvice Caraș-Severin prin Ocolul Silvic Băile Herculane, localizat în U.B.I Topleț: u.a.9%=1,3210 ha, u.a.10B%=0,9258 ha, u.a.11B%=2,2307 ha;</w:t>
            </w:r>
          </w:p>
          <w:p w14:paraId="681BA53C" w14:textId="5984950C" w:rsidR="008178BC" w:rsidRPr="006E27E2" w:rsidRDefault="008178BC" w:rsidP="008178BC">
            <w:pPr>
              <w:numPr>
                <w:ilvl w:val="0"/>
                <w:numId w:val="13"/>
              </w:numPr>
              <w:ind w:left="0" w:firstLine="720"/>
              <w:jc w:val="both"/>
            </w:pPr>
            <w:r w:rsidRPr="006E27E2">
              <w:t>13,2463 ha fond forestier proprietate publică a U.A.T. Bozovici, în administrarea R.P.L. Ocolul Silvic Bănia R.A., localizat în T.P.Bozovici; u.a.16R%=0,0112 ha, u.a.73B%=0,7382 ha, u.a.73C%=1,7750 ha, u.a.47A%=1,6912 ha, u.a.46B%=0,3321 ha, u.a.25%=1,1879 ha, u.a.24%=0,1115 ha, u.a.30A%=0,7961 ha, u.a.17A%=1,0423 ha, u.a.16B%=2,0342 ha, u.a.11%=0,9221 ha, u.a.9C%=0,1202 ha, u.a.9B%=1,9764 ha; u.a.9A%=0,5079 ha.</w:t>
            </w:r>
          </w:p>
          <w:p w14:paraId="4E56D609" w14:textId="77777777" w:rsidR="00653DB3" w:rsidRPr="006E27E2" w:rsidRDefault="00653DB3" w:rsidP="00653DB3">
            <w:pPr>
              <w:ind w:left="720"/>
              <w:jc w:val="both"/>
            </w:pPr>
          </w:p>
          <w:p w14:paraId="5029AAF4" w14:textId="351D3A19" w:rsidR="008178BC" w:rsidRPr="006E27E2" w:rsidRDefault="008178BC" w:rsidP="009819A7">
            <w:pPr>
              <w:pStyle w:val="ListParagraph"/>
              <w:numPr>
                <w:ilvl w:val="0"/>
                <w:numId w:val="15"/>
              </w:numPr>
              <w:ind w:left="1" w:right="59" w:firstLine="450"/>
              <w:jc w:val="both"/>
            </w:pPr>
            <w:r w:rsidRPr="006E27E2">
              <w:t xml:space="preserve">Terenul în suprafaţă de </w:t>
            </w:r>
            <w:r w:rsidRPr="00841C76">
              <w:t xml:space="preserve">3,7227 ha </w:t>
            </w:r>
            <w:r w:rsidRPr="006E27E2">
              <w:t>proprietate a persoanelor fizice, pentru care este încheiat contract de prestări servicii silvice cu Direcția Silvică Mehedinți, Ocolul Silvic Drobeta Turnu Severin, este localizat în U.P. I Racovăț în u.a.79D% = 1,3212 ha, u.a. 84D% = 0,4021 ha, 84E% = 0,2332 ha, 80 I%= 0,0399 ha, 113A% = 0,9634 ha și în U.P. III Bahna u.a. 8%= 0,7593 ha și 106% = 0,0036 ha.</w:t>
            </w:r>
          </w:p>
          <w:p w14:paraId="70AAA805" w14:textId="52353D16" w:rsidR="008178BC" w:rsidRPr="006E27E2" w:rsidRDefault="008178BC" w:rsidP="008178BC">
            <w:pPr>
              <w:jc w:val="both"/>
            </w:pPr>
          </w:p>
          <w:p w14:paraId="498DFFD2" w14:textId="27506BBF" w:rsidR="00653DB3" w:rsidRPr="006E27E2" w:rsidRDefault="00653DB3" w:rsidP="009819A7">
            <w:pPr>
              <w:pStyle w:val="ListParagraph"/>
              <w:numPr>
                <w:ilvl w:val="0"/>
                <w:numId w:val="17"/>
              </w:numPr>
              <w:ind w:left="1" w:right="59" w:firstLine="270"/>
              <w:jc w:val="both"/>
            </w:pPr>
            <w:r w:rsidRPr="006E27E2">
              <w:t xml:space="preserve">Terenul în suprafaţă de </w:t>
            </w:r>
            <w:r w:rsidRPr="00841C76">
              <w:t>4,3016  ha care se ocupă pentru o perioadă de 2 ani este compus din terenul în suprafaţă de 3,9324 ha proprietate publică a statului, administrat de Regia Naţională a Pădurilor – Romsilva și din terenul în suprafaţă de 0,3692 ha proprietate a persoanelor fizice</w:t>
            </w:r>
            <w:r w:rsidRPr="006E27E2">
              <w:t>.</w:t>
            </w:r>
          </w:p>
          <w:p w14:paraId="00EFB1E1" w14:textId="0DA28384" w:rsidR="006A1A4B" w:rsidRPr="006E27E2" w:rsidRDefault="006A1A4B" w:rsidP="009819A7">
            <w:pPr>
              <w:pStyle w:val="BodyText3"/>
              <w:numPr>
                <w:ilvl w:val="0"/>
                <w:numId w:val="16"/>
              </w:numPr>
              <w:ind w:left="1" w:firstLine="270"/>
              <w:jc w:val="both"/>
              <w:rPr>
                <w:sz w:val="24"/>
                <w:szCs w:val="24"/>
              </w:rPr>
            </w:pPr>
            <w:r w:rsidRPr="006E27E2">
              <w:rPr>
                <w:sz w:val="24"/>
                <w:szCs w:val="24"/>
              </w:rPr>
              <w:t xml:space="preserve">Terenul în suprafaţă de </w:t>
            </w:r>
            <w:r w:rsidRPr="00841C76">
              <w:rPr>
                <w:sz w:val="24"/>
                <w:szCs w:val="24"/>
              </w:rPr>
              <w:t xml:space="preserve">3,9324 ha </w:t>
            </w:r>
            <w:r w:rsidRPr="006E27E2">
              <w:rPr>
                <w:sz w:val="24"/>
                <w:szCs w:val="24"/>
              </w:rPr>
              <w:t>proprietate publică a statului este administrat de Regia Națională a Pădurilor – Romsilva și este amplasat după cum urmează:</w:t>
            </w:r>
          </w:p>
          <w:p w14:paraId="0687C10F" w14:textId="77777777" w:rsidR="006A1A4B" w:rsidRPr="006E27E2" w:rsidRDefault="006A1A4B" w:rsidP="00A81262">
            <w:pPr>
              <w:ind w:left="1" w:firstLine="720"/>
              <w:jc w:val="both"/>
            </w:pPr>
            <w:r w:rsidRPr="006E27E2">
              <w:t>a) 0,0121 ha pe raza Ocolul Silvic Băile Herculane localizat în U.P. VI Domogled: u.a.155B%=0,0121 ha;</w:t>
            </w:r>
          </w:p>
          <w:p w14:paraId="21061865" w14:textId="77777777" w:rsidR="006A1A4B" w:rsidRPr="006E27E2" w:rsidRDefault="006A1A4B" w:rsidP="00A81262">
            <w:pPr>
              <w:ind w:left="1" w:firstLine="720"/>
              <w:jc w:val="both"/>
            </w:pPr>
            <w:r w:rsidRPr="006E27E2">
              <w:t>b) 1,2212 ha pe raza Ocolului Silvic Mehadia, Direcția Silvică Caraș Severin, localizat în U.P.I Sfardin: u.a.9V%=0,0655 ha, u.a.13V%=0,0861 ha, u.a.14V%=0,0570 ha, u.a.15E%=0,1175 ha, u.a.16M%=0,0478 ha, u.a.19M%=0,2169 ha, u.a.26M%=0,2036 ha, u.a.27M%=0,1653 ha, u.a.28M1%=0,2615 ha;</w:t>
            </w:r>
          </w:p>
          <w:p w14:paraId="01E2A5A8" w14:textId="77777777" w:rsidR="006A1A4B" w:rsidRPr="006E27E2" w:rsidRDefault="006A1A4B" w:rsidP="00A81262">
            <w:pPr>
              <w:ind w:left="1" w:firstLine="720"/>
              <w:jc w:val="both"/>
            </w:pPr>
            <w:r w:rsidRPr="006E27E2">
              <w:t>c) 0,4854 ha pe raza Ocolului Silvic Bozovici, Direcția Silvică Caraș Severin, localizat în U.P.IV Tăria: u.a.6A%=0,0636, u.a.9A%=0,0780 ha, u.a.9B%=0,0633 ha, u.a. 10A%=0,0404 ha, u.a.14A%=0,0626 ha, u.a.15A%=0,0582 ha, u.a.15B%=0,0023 ha, u.a.15F%=0,0273 ha, u.a.17A%=0,0677 ha, u.a.50%=0,0220 ha;</w:t>
            </w:r>
          </w:p>
          <w:p w14:paraId="6EF9D2BE" w14:textId="77777777" w:rsidR="006A1A4B" w:rsidRPr="006E27E2" w:rsidRDefault="006A1A4B" w:rsidP="00A81262">
            <w:pPr>
              <w:ind w:left="1" w:firstLine="720"/>
              <w:jc w:val="both"/>
            </w:pPr>
            <w:r w:rsidRPr="006E27E2">
              <w:t xml:space="preserve">d) 0,6459 ha pe raza Ocolului Silvic Anina, Direcția Silvică Caraș Severin, localizat U.P. III Steierdorf: u.a.53R%=0,0809 ha, u.a.55R%=0,2938 </w:t>
            </w:r>
            <w:r w:rsidRPr="006E27E2">
              <w:lastRenderedPageBreak/>
              <w:t>ha, u.a.70A%=0,0283 ha, u.a.72A%=0,0015 ha, u.a.72C%=0,0550 ha, u.a.73A%=0,0161 ha, u.a.78A%=0,0688 ha, u.a.79%=0,0701 ha, u.a.86A%=0,0215 ha, u.a.89A%=0,0099 ha;</w:t>
            </w:r>
          </w:p>
          <w:p w14:paraId="0116A7C5" w14:textId="26C63EA8" w:rsidR="006A1A4B" w:rsidRDefault="006A1A4B" w:rsidP="00A81262">
            <w:pPr>
              <w:ind w:left="1" w:firstLine="720"/>
              <w:jc w:val="both"/>
            </w:pPr>
            <w:r w:rsidRPr="00A81262">
              <w:t>e) 1,5678 ha pe raza Ocolului Silvic Drobeta Turnu Severin, Direcția Silvică Mehedinți, localizat în U.P. III Bahna: u.a.10A%=0,0119 ha, u.a.10B%=0,0831 ha, în U.P. IV Vodita u.a.35B%=0,0793 ha, u.a.36B%=0,0284 ha, u.a.37C%=0,0371 ha, u.a.68B%=0,0302 ha, u.a.68C%=0,0140 ha, u.a.69R%=0,0964 ha, u.a.89C%=0,0214 ha, u.a.92A%=0,0171 ha, u.a. 92B% = 0,0299 ha, u.a.92G% = 0,0496 ha, u.a.92R1=0,0716 ha, u.a.92R3%= 0,0419 ha, u.a.92R4% = 0,0697 ha, u.a.92R5% = 0,0474 ha, u.a.93A% = 0,0287 ha, u.a.93B% = 0,0153 ha, u.a.93R1% = 0,2021 ha, în U.P. V Jidostița u.a.3D%= 0,0516 ha, u.a.3E%= 0,0699 ha, u.a.3R3% = 0,2015 ha, u.a.4C%= 0,0745 ha, u.a.4R1% = 0,0392 ha, u.a. 16A% = 0,0327 ha, u.a.17A% = 0,0993 ha, u.a.66B%= 0,0240 ha.</w:t>
            </w:r>
          </w:p>
          <w:p w14:paraId="1E5E6C34" w14:textId="77777777" w:rsidR="00A81262" w:rsidRPr="00A81262" w:rsidRDefault="00A81262" w:rsidP="00A81262">
            <w:pPr>
              <w:ind w:left="1" w:firstLine="720"/>
              <w:jc w:val="both"/>
            </w:pPr>
          </w:p>
          <w:p w14:paraId="6CC0F6B7" w14:textId="5ECAB5F7" w:rsidR="006A1A4B" w:rsidRPr="006E27E2" w:rsidRDefault="006A1A4B" w:rsidP="006E27E2">
            <w:pPr>
              <w:pStyle w:val="BodyText3"/>
              <w:numPr>
                <w:ilvl w:val="0"/>
                <w:numId w:val="16"/>
              </w:numPr>
              <w:ind w:left="1" w:firstLine="270"/>
              <w:jc w:val="both"/>
              <w:rPr>
                <w:sz w:val="24"/>
                <w:szCs w:val="24"/>
              </w:rPr>
            </w:pPr>
            <w:r w:rsidRPr="006E27E2">
              <w:rPr>
                <w:sz w:val="24"/>
                <w:szCs w:val="24"/>
              </w:rPr>
              <w:t>Terenul în suprafaţă de 0,3692 ha proprietate publică a unităților administrativ-teritoriale este amplasat după cum urmează:</w:t>
            </w:r>
          </w:p>
          <w:p w14:paraId="41C5C643" w14:textId="140C40E3" w:rsidR="006A1A4B" w:rsidRPr="006E27E2" w:rsidRDefault="006A1A4B" w:rsidP="00A81262">
            <w:pPr>
              <w:ind w:left="1" w:firstLine="720"/>
              <w:jc w:val="both"/>
            </w:pPr>
            <w:r w:rsidRPr="006E27E2">
              <w:t>a) 0,0662 ha fond forestier proprietate publică a U.A.T. Mehadia, este administrat de Direcția Silvică Caraș-Severin prin Ocolul Silvic Mehadia și este localizat în U.B.Mehadia: u.a.24A%=0,0662 ha;</w:t>
            </w:r>
          </w:p>
          <w:p w14:paraId="5B53D4E0" w14:textId="3FBBABEC" w:rsidR="006A1A4B" w:rsidRPr="006E27E2" w:rsidRDefault="006A1A4B" w:rsidP="00A81262">
            <w:pPr>
              <w:ind w:left="1" w:firstLine="720"/>
              <w:jc w:val="both"/>
            </w:pPr>
            <w:r w:rsidRPr="006E27E2">
              <w:t>b) 0,3030 ha fond forestier proprietate publică a U.A.T. Iablanița este administrat de Direcția Silvică Caraș-Severin prin Ocolul Silvic Mehadia și este localizat în U.B.Iablanița: u.a.25%=0,0715 ha, u.a.26%=0,0618 ha, u.a.27D%=0,0739 ha, u.a.211A%=0,0801 ha, u.a.211N%=0,0157 ha.</w:t>
            </w:r>
          </w:p>
          <w:p w14:paraId="25E1F8D2" w14:textId="62701572" w:rsidR="001615CD" w:rsidRDefault="001615CD" w:rsidP="00191E1B">
            <w:pPr>
              <w:pStyle w:val="ListParagraph"/>
              <w:ind w:left="13" w:right="59" w:firstLine="708"/>
              <w:jc w:val="both"/>
              <w:rPr>
                <w:lang w:val="en-US"/>
              </w:rPr>
            </w:pPr>
          </w:p>
          <w:p w14:paraId="65ABE765" w14:textId="216D8C53" w:rsidR="00DE5C16" w:rsidRPr="00DE5C16" w:rsidRDefault="00DE5C16" w:rsidP="00740185">
            <w:pPr>
              <w:ind w:right="59" w:firstLine="721"/>
              <w:jc w:val="both"/>
            </w:pPr>
            <w:r w:rsidRPr="00DE5C16">
              <w:t>Beneficiarul</w:t>
            </w:r>
            <w:r w:rsidRPr="00740185">
              <w:rPr>
                <w:b/>
              </w:rPr>
              <w:t xml:space="preserve"> </w:t>
            </w:r>
            <w:r w:rsidRPr="00D74FFE">
              <w:t xml:space="preserve">scoaterii definitive din fondul forestier naţional a terenului în suprafaţă de 1,0517 ha, </w:t>
            </w:r>
            <w:r w:rsidR="00D74FFE">
              <w:t xml:space="preserve">al </w:t>
            </w:r>
            <w:r w:rsidRPr="00D74FFE">
              <w:t xml:space="preserve">ocupării temporare pe o perioadă de 10 ani a terenului din fondul forestier național în suprafață de 146,0177 ha  și </w:t>
            </w:r>
            <w:r w:rsidR="00D74FFE">
              <w:t xml:space="preserve">al </w:t>
            </w:r>
            <w:r w:rsidRPr="00D74FFE">
              <w:t xml:space="preserve">ocupării temporare pentru o perioadă de 2 ani a terenului din fondul forestier național în suprafață de 4,3016 ha </w:t>
            </w:r>
            <w:r w:rsidRPr="00DE5C16">
              <w:t>este statul român.</w:t>
            </w:r>
          </w:p>
          <w:p w14:paraId="6E37AE4D" w14:textId="780DDF8D" w:rsidR="001615CD" w:rsidRPr="00DE5C16" w:rsidRDefault="00DE5C16" w:rsidP="00740185">
            <w:pPr>
              <w:pStyle w:val="ListParagraph"/>
              <w:ind w:left="13" w:right="59" w:firstLine="708"/>
              <w:jc w:val="both"/>
            </w:pPr>
            <w:r w:rsidRPr="00DE5C16">
              <w:t xml:space="preserve">Scoaterea definitivă </w:t>
            </w:r>
            <w:r w:rsidR="00D74FFE">
              <w:t xml:space="preserve">și ocuparea temporară a terenurilor </w:t>
            </w:r>
            <w:r w:rsidRPr="00DE5C16">
              <w:t xml:space="preserve">din fondul forestier național se face cu defrișarea vegetației forestiere pe suprafața totală de 149,0179 ha. </w:t>
            </w:r>
            <w:r w:rsidR="00F06DFC">
              <w:t>Terenurile forestiere care au altă folosință decât pădure sau clasă de regenerare nu se regăsesc în suprafața totală care va fi defrișată.</w:t>
            </w:r>
          </w:p>
          <w:p w14:paraId="22B5EADA" w14:textId="09A33CF0" w:rsidR="00DE5C16" w:rsidRPr="00DE5C16" w:rsidRDefault="00DE5C16" w:rsidP="00DE5C16">
            <w:pPr>
              <w:pStyle w:val="ListParagraph"/>
              <w:ind w:left="13" w:right="59" w:firstLine="708"/>
              <w:jc w:val="both"/>
            </w:pPr>
            <w:r w:rsidRPr="00DE5C16">
              <w:t>Masa lemnoasă de pe terenurile cuprinse în amenajamentele silvice în vigoar</w:t>
            </w:r>
            <w:r w:rsidR="00740185">
              <w:t>e</w:t>
            </w:r>
            <w:r w:rsidRPr="00DE5C16">
              <w:t xml:space="preserve"> se va precompta și se va exploata conform prevederilor legale în vigoare.</w:t>
            </w:r>
          </w:p>
          <w:p w14:paraId="5B3237E5" w14:textId="38A431D8" w:rsidR="00DE5C16" w:rsidRPr="00DE5C16" w:rsidRDefault="00DE5C16" w:rsidP="00DE5C16">
            <w:pPr>
              <w:pStyle w:val="ListParagraph"/>
              <w:ind w:left="13" w:right="59" w:firstLine="708"/>
              <w:jc w:val="both"/>
            </w:pPr>
            <w:r w:rsidRPr="00DE5C16">
              <w:t>Masa lemnoasă de pe terenurile aferentă proprietăților mai mici de 10 ha, pentru care legea nu obligă la elaborarea de amenajamente silvice potrivit art. 20 </w:t>
            </w:r>
            <w:hyperlink r:id="rId8" w:anchor="p-201730369" w:tgtFrame="_blank" w:history="1">
              <w:r w:rsidRPr="00DE5C16">
                <w:t>alin. (3)</w:t>
              </w:r>
            </w:hyperlink>
            <w:r w:rsidRPr="00DE5C16">
              <w:t> din Legea nr. 46/2008 - Codul silvic, republicată, cu modificările și completările ulterioare, care depășește 5 mc/an/ha se scade din volumul de recoltat din anii următori.</w:t>
            </w:r>
          </w:p>
          <w:p w14:paraId="360D1F5E" w14:textId="50FD193F" w:rsidR="00DE5C16" w:rsidRPr="00DE5C16" w:rsidRDefault="00DE5C16" w:rsidP="00DE5C16">
            <w:pPr>
              <w:pStyle w:val="ListParagraph"/>
              <w:ind w:left="13" w:right="59" w:firstLine="708"/>
              <w:jc w:val="both"/>
            </w:pPr>
            <w:r w:rsidRPr="00DE5C16">
              <w:t xml:space="preserve">Cheltuielile efectuate pentru exploatarea masei lemnoase pe terenurile </w:t>
            </w:r>
            <w:r w:rsidR="00740185">
              <w:t>situate pe coridorul de expropriere aflate în proprietatea persoanelor fizice</w:t>
            </w:r>
            <w:r w:rsidRPr="00DE5C16">
              <w:t xml:space="preserve"> se suportă de către Compania Naţională de Transport al Energiei Electrice Transelectrica S.A.</w:t>
            </w:r>
          </w:p>
          <w:p w14:paraId="07F6FC5E" w14:textId="77777777" w:rsidR="00DE5C16" w:rsidRPr="00DE5C16" w:rsidRDefault="00DE5C16" w:rsidP="00B76A0D">
            <w:pPr>
              <w:pStyle w:val="ListParagraph"/>
              <w:ind w:left="13" w:right="59" w:firstLine="708"/>
              <w:jc w:val="both"/>
            </w:pPr>
            <w:r w:rsidRPr="00DE5C16">
              <w:t>Masa lemnoasă rezultată în urma defrișării vegetației forestiere de pe terenurile forestiere revine proprietarului, în cazul fondului forestier proprietate privată a persoanelor fizice și juridice, respectiv proprietate publică a unităților administrativ-teritoriale, și administratorului, în cazul fondului forestier proprietate publică a statului.</w:t>
            </w:r>
          </w:p>
          <w:p w14:paraId="317B4A0E" w14:textId="06CF9B5E" w:rsidR="00DE5C16" w:rsidRDefault="00DE5C16" w:rsidP="00B76A0D">
            <w:pPr>
              <w:pStyle w:val="ListParagraph"/>
              <w:ind w:left="13" w:right="59" w:firstLine="708"/>
              <w:jc w:val="both"/>
            </w:pPr>
            <w:r w:rsidRPr="00B76A0D">
              <w:t xml:space="preserve">Pentru terenurile forestiere aflate în proprietatea privată a persoanelor fizice, pentru care Compania Naţională de Transport al Energiei Electrice Transelectrica S.A.a emis declarația de asumare proprie a răspunderii, sumele </w:t>
            </w:r>
            <w:r w:rsidRPr="00B76A0D">
              <w:lastRenderedPageBreak/>
              <w:t>datorate pentru ocuparea temporară a terenurilor forestiere, se vor vira către proprietarii terenurilor respective.</w:t>
            </w:r>
          </w:p>
          <w:p w14:paraId="32677550" w14:textId="057B27CD" w:rsidR="00A81262" w:rsidRDefault="00A81262" w:rsidP="00A81262">
            <w:pPr>
              <w:ind w:firstLine="721"/>
              <w:jc w:val="both"/>
            </w:pPr>
            <w:r w:rsidRPr="008611B3">
              <w:t>Perioada prevăzută pentru ocupare temporară include în cazul terenurile care au categoria de folosinţă pădure sau clasă de regenerare şi perioada necesară efectuării lucrărilor pentru redarea terenurilor în condiţii apte de a fi împădurite.</w:t>
            </w:r>
          </w:p>
          <w:p w14:paraId="61D4B95A" w14:textId="18BE5371" w:rsidR="00DE5C16" w:rsidRPr="00DE5C16" w:rsidRDefault="00DE5C16" w:rsidP="00B76A0D">
            <w:pPr>
              <w:pStyle w:val="ListParagraph"/>
              <w:ind w:left="13" w:right="59" w:firstLine="708"/>
              <w:jc w:val="both"/>
            </w:pPr>
            <w:r w:rsidRPr="00DE5C16">
              <w:t xml:space="preserve">Predarea terenurilor se va face pe bază de proces verbal de predare-primire. </w:t>
            </w:r>
          </w:p>
          <w:p w14:paraId="2C0D535B" w14:textId="09603BCD" w:rsidR="00191E1B" w:rsidRDefault="00191E1B" w:rsidP="00191E1B">
            <w:pPr>
              <w:pStyle w:val="ListParagraph"/>
              <w:ind w:left="13"/>
              <w:jc w:val="both"/>
            </w:pPr>
          </w:p>
          <w:p w14:paraId="52712A72" w14:textId="56981029" w:rsidR="004E7A9C" w:rsidRPr="00F31417" w:rsidRDefault="004E7A9C" w:rsidP="004E7A9C">
            <w:pPr>
              <w:ind w:left="1"/>
              <w:jc w:val="both"/>
            </w:pPr>
            <w:r>
              <w:t xml:space="preserve">           Legea energiei electrice şi a gazelor naturale nr. 123/2012 prevede la a</w:t>
            </w:r>
            <w:r w:rsidRPr="00F31417">
              <w:t>rt. 12</w:t>
            </w:r>
            <w:r>
              <w:t xml:space="preserve"> alin.</w:t>
            </w:r>
            <w:r w:rsidRPr="00F31417">
              <w:t xml:space="preserve"> (4)</w:t>
            </w:r>
            <w:r>
              <w:t xml:space="preserve"> că</w:t>
            </w:r>
            <w:r w:rsidRPr="00F31417">
              <w:t xml:space="preserve"> </w:t>
            </w:r>
            <w:r>
              <w:t>,,e</w:t>
            </w:r>
            <w:r w:rsidRPr="00F31417">
              <w:t>xercitarea drepturilor de uz şi servitute asupra proprietăţilor statului şi ale unităţilor administrativ-teritoriale afectate de capacităţile energetice se realizează</w:t>
            </w:r>
            <w:r>
              <w:t xml:space="preserve"> </w:t>
            </w:r>
            <w:r w:rsidRPr="00F31417">
              <w:t>cu titlu gratuit, pe toată durata existenţei acestora.</w:t>
            </w:r>
            <w:r>
              <w:t>”</w:t>
            </w:r>
            <w:r w:rsidRPr="00F31417">
              <w:t xml:space="preserve"> </w:t>
            </w:r>
          </w:p>
          <w:p w14:paraId="4BE2EC2E" w14:textId="5B8B9034" w:rsidR="00DE5C16" w:rsidRDefault="00DE5C16" w:rsidP="00191E1B">
            <w:pPr>
              <w:pStyle w:val="ListParagraph"/>
              <w:ind w:left="13"/>
              <w:jc w:val="both"/>
            </w:pPr>
          </w:p>
          <w:p w14:paraId="1427FF86" w14:textId="4B2B05EF" w:rsidR="00DE5C16" w:rsidRPr="00FA4C1A" w:rsidRDefault="00E477F0" w:rsidP="004E7A9C">
            <w:pPr>
              <w:pStyle w:val="ListParagraph"/>
              <w:ind w:left="13" w:firstLine="708"/>
              <w:jc w:val="both"/>
            </w:pPr>
            <w:r w:rsidRPr="00E7075B">
              <w:rPr>
                <w:rFonts w:cs="Arial"/>
              </w:rPr>
              <w:t xml:space="preserve">Scoaterea definitivă și temporară a terenurilor </w:t>
            </w:r>
            <w:r w:rsidR="00F31F99">
              <w:rPr>
                <w:rFonts w:cs="Arial"/>
              </w:rPr>
              <w:t xml:space="preserve">din fondul forestier național, </w:t>
            </w:r>
            <w:r w:rsidRPr="00E7075B">
              <w:rPr>
                <w:rFonts w:cs="Arial"/>
              </w:rPr>
              <w:t>necesare pentru realizarea obiectivului ,,</w:t>
            </w:r>
            <w:r w:rsidRPr="00C915F4">
              <w:rPr>
                <w:rFonts w:cs="Arial"/>
              </w:rPr>
              <w:t>Trecerea la tensiunea de 400 kV a axului Porțile de Fier-Reșița-Timișoara-Săcălaz-Arad/LEA 400 kV Porțile de Fier-Anina-Reșița</w:t>
            </w:r>
            <w:r w:rsidRPr="00E7075B">
              <w:rPr>
                <w:rFonts w:cs="Arial"/>
              </w:rPr>
              <w:t>” se exceptează</w:t>
            </w:r>
            <w:r w:rsidR="00F31F99">
              <w:rPr>
                <w:rFonts w:cs="Arial"/>
              </w:rPr>
              <w:t>,</w:t>
            </w:r>
            <w:r w:rsidRPr="00E7075B">
              <w:rPr>
                <w:rFonts w:cs="Arial"/>
              </w:rPr>
              <w:t xml:space="preserve"> conform prevederilor art. 14 din Legea nr. 255/2010 privind exproprierea pentru cauză de utilitate publică, necesară realizării unor obiective de interes național, județean și local, cu modificările și completările ulterioare</w:t>
            </w:r>
            <w:r>
              <w:rPr>
                <w:rFonts w:cs="Arial"/>
              </w:rPr>
              <w:t xml:space="preserve">, </w:t>
            </w:r>
            <w:r w:rsidRPr="00E7075B">
              <w:rPr>
                <w:rFonts w:cs="Arial"/>
              </w:rPr>
              <w:t>de la plata obligațiilor bănești prevăzute la art.4</w:t>
            </w:r>
            <w:r>
              <w:rPr>
                <w:rFonts w:cs="Arial"/>
              </w:rPr>
              <w:t>1</w:t>
            </w:r>
            <w:r w:rsidRPr="00E7075B">
              <w:rPr>
                <w:rFonts w:cs="Arial"/>
              </w:rPr>
              <w:t xml:space="preserve"> și </w:t>
            </w:r>
            <w:r>
              <w:rPr>
                <w:rFonts w:cs="Arial"/>
              </w:rPr>
              <w:t xml:space="preserve">la </w:t>
            </w:r>
            <w:r w:rsidRPr="00E7075B">
              <w:rPr>
                <w:rFonts w:cs="Arial"/>
              </w:rPr>
              <w:t>art. 4</w:t>
            </w:r>
            <w:r>
              <w:rPr>
                <w:rFonts w:cs="Arial"/>
              </w:rPr>
              <w:t>2</w:t>
            </w:r>
            <w:r w:rsidRPr="00E7075B">
              <w:rPr>
                <w:rFonts w:cs="Arial"/>
              </w:rPr>
              <w:t xml:space="preserve"> din Legea nr. 46/2008 Codul silvic, republicat</w:t>
            </w:r>
            <w:r>
              <w:rPr>
                <w:rFonts w:cs="Arial"/>
              </w:rPr>
              <w:t>ă</w:t>
            </w:r>
            <w:r w:rsidRPr="00E7075B">
              <w:rPr>
                <w:rFonts w:cs="Arial"/>
              </w:rPr>
              <w:t>, cu modificările și completările ulterioare</w:t>
            </w:r>
            <w:r w:rsidR="00F06DFC">
              <w:rPr>
                <w:rFonts w:cs="Arial"/>
              </w:rPr>
              <w:t>.</w:t>
            </w:r>
          </w:p>
          <w:p w14:paraId="1535ED79" w14:textId="614DA540" w:rsidR="00BA4601" w:rsidRDefault="004E7A9C" w:rsidP="004E7A9C">
            <w:pPr>
              <w:jc w:val="both"/>
            </w:pPr>
            <w:r>
              <w:t>Ca argumente pentru exceptarea de plata obligațiilor banești</w:t>
            </w:r>
            <w:r w:rsidR="00F31F99">
              <w:t xml:space="preserve"> </w:t>
            </w:r>
            <w:r w:rsidR="00F31F99" w:rsidRPr="009161E4">
              <w:rPr>
                <w:rFonts w:cs="Arial"/>
              </w:rPr>
              <w:t>Compania Națională de Transport al Energiei Electrice Transelectrica S.A.</w:t>
            </w:r>
            <w:r w:rsidR="00F31F99">
              <w:rPr>
                <w:rFonts w:cs="Arial"/>
              </w:rPr>
              <w:t xml:space="preserve"> a </w:t>
            </w:r>
            <w:r>
              <w:rPr>
                <w:rFonts w:cs="Arial"/>
              </w:rPr>
              <w:t>prezentat</w:t>
            </w:r>
            <w:r w:rsidR="00F31F99">
              <w:rPr>
                <w:rFonts w:cs="Arial"/>
              </w:rPr>
              <w:t xml:space="preserve"> </w:t>
            </w:r>
            <w:r>
              <w:rPr>
                <w:rFonts w:cs="Arial"/>
              </w:rPr>
              <w:t>:</w:t>
            </w:r>
          </w:p>
          <w:p w14:paraId="54FEB0C1" w14:textId="7AC9744B" w:rsidR="00F31F99" w:rsidRDefault="004E7A9C" w:rsidP="00F31F99">
            <w:pPr>
              <w:autoSpaceDE w:val="0"/>
              <w:autoSpaceDN w:val="0"/>
              <w:adjustRightInd w:val="0"/>
              <w:jc w:val="both"/>
            </w:pPr>
            <w:r>
              <w:t xml:space="preserve">- </w:t>
            </w:r>
            <w:r w:rsidR="00F31F99" w:rsidRPr="00D6340D">
              <w:t xml:space="preserve">HG nr. </w:t>
            </w:r>
            <w:r w:rsidR="00F31F99">
              <w:t>917</w:t>
            </w:r>
            <w:r w:rsidR="00F31F99" w:rsidRPr="00D6340D">
              <w:t>/201</w:t>
            </w:r>
            <w:r w:rsidR="00F31F99">
              <w:t>6</w:t>
            </w:r>
            <w:r w:rsidR="00F31F99" w:rsidRPr="00D6340D">
              <w:t xml:space="preserve"> pentru aprobarea </w:t>
            </w:r>
            <w:r w:rsidR="00F31F99">
              <w:t xml:space="preserve">amplasamentului și declanșarea procedurii de expropriere a imobilelor proprietate privată care constituie coridorul de expropriere al obiectivului de investiții </w:t>
            </w:r>
            <w:r w:rsidR="00F31F99" w:rsidRPr="00D6340D">
              <w:t>,,</w:t>
            </w:r>
            <w:r w:rsidR="00F31F99" w:rsidRPr="000B0564">
              <w:t>Trecerea la tensiunea de 400 kV a axului Porțile de Fier-Reșița-Timișoara-Săcălaz-Arad/LEA 400 kV Porțile de Fier-Anina-Reșița</w:t>
            </w:r>
            <w:r w:rsidR="00F31F99" w:rsidRPr="00D6340D">
              <w:t>”;</w:t>
            </w:r>
          </w:p>
          <w:p w14:paraId="49CFCF5A" w14:textId="77777777" w:rsidR="00F31F99" w:rsidRDefault="00F31F99" w:rsidP="00F31F99">
            <w:pPr>
              <w:autoSpaceDE w:val="0"/>
              <w:autoSpaceDN w:val="0"/>
              <w:adjustRightInd w:val="0"/>
              <w:jc w:val="both"/>
            </w:pPr>
            <w:r>
              <w:t>- Ordinul ministrului economiei, comerțului și relațiilor cu mediul de afaceri nr. 789/2016 privind aprobarea indicatorilor tehnico-economici ai obiectivului de investiții ,,</w:t>
            </w:r>
            <w:r w:rsidRPr="000B0564">
              <w:t>Trecerea la tensiunea de 400 kV a axului Porțile de Fier-Reșița-Timișoara-Săcălaz-Arad/LEA 400 kV Porțile de Fier-Anina-Reșița”</w:t>
            </w:r>
          </w:p>
          <w:p w14:paraId="54A359F5" w14:textId="77777777" w:rsidR="00BA4601" w:rsidRDefault="00BA4601" w:rsidP="00191E1B">
            <w:pPr>
              <w:ind w:firstLine="415"/>
              <w:jc w:val="both"/>
            </w:pPr>
          </w:p>
          <w:p w14:paraId="5E24833D" w14:textId="587B4F69" w:rsidR="00F75A62" w:rsidRPr="009161E4" w:rsidRDefault="00C915F4" w:rsidP="000D2704">
            <w:pPr>
              <w:ind w:firstLine="721"/>
              <w:jc w:val="both"/>
              <w:rPr>
                <w:rFonts w:cs="Arial"/>
              </w:rPr>
            </w:pPr>
            <w:r w:rsidRPr="009161E4">
              <w:rPr>
                <w:rFonts w:cs="Arial"/>
              </w:rPr>
              <w:t xml:space="preserve">Documentația înaintată de către Compania Națională de Transport al Energiei Electrice Transelectrica S.A. </w:t>
            </w:r>
            <w:r w:rsidR="00F75A62" w:rsidRPr="009161E4">
              <w:rPr>
                <w:rFonts w:cs="Arial"/>
              </w:rPr>
              <w:t>nu conține actele în formă autentică pentru terenurile proprietate privată</w:t>
            </w:r>
            <w:r w:rsidR="00AE463B">
              <w:rPr>
                <w:rFonts w:cs="Arial"/>
              </w:rPr>
              <w:t>, care sunt</w:t>
            </w:r>
            <w:r w:rsidR="00F75A62" w:rsidRPr="009161E4">
              <w:rPr>
                <w:rFonts w:cs="Arial"/>
              </w:rPr>
              <w:t xml:space="preserve"> prevăzute la art.20 pct.15 din Metodologia aprobată cu Ordinul ministrului, mediului, apelor și pădurilor nr. 694/2016 pentru aprobarea Metodologiei privind scoaterea definitivă, ocuparea temporară și schimbul de terenuri și de calcul al obligațiilor bănești, cu modificările și completările ulterioare, unde se precizează</w:t>
            </w:r>
            <w:r w:rsidR="009161E4">
              <w:rPr>
                <w:rFonts w:cs="Arial"/>
              </w:rPr>
              <w:t xml:space="preserve"> că documentația </w:t>
            </w:r>
            <w:r w:rsidR="00DC14E1">
              <w:rPr>
                <w:rFonts w:cs="Arial"/>
              </w:rPr>
              <w:t xml:space="preserve">trebuie să </w:t>
            </w:r>
            <w:r w:rsidR="009161E4">
              <w:rPr>
                <w:rFonts w:cs="Arial"/>
              </w:rPr>
              <w:t>conțin</w:t>
            </w:r>
            <w:r w:rsidR="00DC14E1">
              <w:rPr>
                <w:rFonts w:cs="Arial"/>
              </w:rPr>
              <w:t>ă</w:t>
            </w:r>
            <w:r w:rsidR="00F75A62" w:rsidRPr="009161E4">
              <w:rPr>
                <w:rFonts w:cs="Arial"/>
              </w:rPr>
              <w:t>:</w:t>
            </w:r>
            <w:r w:rsidRPr="009161E4">
              <w:rPr>
                <w:rFonts w:cs="Arial"/>
              </w:rPr>
              <w:t xml:space="preserve"> </w:t>
            </w:r>
          </w:p>
          <w:p w14:paraId="4F5B74E9" w14:textId="663B8486" w:rsidR="00BA4601" w:rsidRPr="009161E4" w:rsidRDefault="00F75A62" w:rsidP="000D2704">
            <w:pPr>
              <w:jc w:val="both"/>
              <w:rPr>
                <w:rFonts w:cs="Arial"/>
              </w:rPr>
            </w:pPr>
            <w:r w:rsidRPr="009161E4">
              <w:rPr>
                <w:rFonts w:cs="Arial"/>
              </w:rPr>
              <w:t>,,</w:t>
            </w:r>
            <w:r w:rsidR="00C915F4" w:rsidRPr="009161E4">
              <w:rPr>
                <w:rFonts w:cs="Arial"/>
              </w:rPr>
              <w:t>acordul proprietarului pentru terenurile forestiere, altele decât cele din proprietatea publică a statului, în care să se precizeze inclusiv că terenul nu este în litigiu; acordul proprietarului pentru terenurile forestiere proprietate privată se încheie în formă autentică;</w:t>
            </w:r>
            <w:r w:rsidRPr="009161E4">
              <w:rPr>
                <w:rFonts w:cs="Arial"/>
              </w:rPr>
              <w:t>”</w:t>
            </w:r>
            <w:r w:rsidR="009161E4" w:rsidRPr="009161E4">
              <w:rPr>
                <w:rFonts w:cs="Arial"/>
              </w:rPr>
              <w:t xml:space="preserve"> </w:t>
            </w:r>
          </w:p>
          <w:p w14:paraId="6A680290" w14:textId="69556A46" w:rsidR="009161E4" w:rsidRPr="009161E4" w:rsidRDefault="009161E4" w:rsidP="000D2704">
            <w:pPr>
              <w:ind w:firstLine="721"/>
              <w:jc w:val="both"/>
              <w:rPr>
                <w:rFonts w:cs="Arial"/>
              </w:rPr>
            </w:pPr>
            <w:r w:rsidRPr="009161E4">
              <w:rPr>
                <w:rFonts w:cs="Arial"/>
              </w:rPr>
              <w:t xml:space="preserve">Terenurile respective sunt în suprafață de 3,7227 ha și sunt identificate la art. 2 alin.(5) din prezentul proiect de hotărâre de guvern. </w:t>
            </w:r>
          </w:p>
          <w:p w14:paraId="5EF01A57" w14:textId="0DA241CB" w:rsidR="00191E1B" w:rsidRPr="00D91BDF" w:rsidRDefault="00191E1B" w:rsidP="000D2704">
            <w:pPr>
              <w:ind w:firstLine="361"/>
              <w:jc w:val="both"/>
            </w:pPr>
            <w:r w:rsidRPr="009161E4">
              <w:rPr>
                <w:rFonts w:cs="Arial"/>
              </w:rPr>
              <w:t xml:space="preserve">      </w:t>
            </w:r>
            <w:r w:rsidR="00A928AE">
              <w:rPr>
                <w:rFonts w:cs="Arial"/>
              </w:rPr>
              <w:t xml:space="preserve"> </w:t>
            </w:r>
            <w:r w:rsidR="00F31F99">
              <w:rPr>
                <w:rFonts w:cs="Arial"/>
              </w:rPr>
              <w:t xml:space="preserve">In compensare pentru lipsa acestor acte, </w:t>
            </w:r>
            <w:r w:rsidR="00F75A62" w:rsidRPr="009161E4">
              <w:rPr>
                <w:rFonts w:cs="Arial"/>
              </w:rPr>
              <w:t xml:space="preserve">Compania Naţională de Transport al Energiei Electrice Transelectrica S.A.a emis </w:t>
            </w:r>
            <w:r w:rsidR="00DC14E1">
              <w:rPr>
                <w:rFonts w:cs="Arial"/>
              </w:rPr>
              <w:t>D</w:t>
            </w:r>
            <w:r w:rsidR="00F75A62" w:rsidRPr="009161E4">
              <w:rPr>
                <w:rFonts w:cs="Arial"/>
              </w:rPr>
              <w:t xml:space="preserve">eclarația </w:t>
            </w:r>
            <w:r w:rsidR="00DC14E1">
              <w:rPr>
                <w:rFonts w:cs="Arial"/>
              </w:rPr>
              <w:t>cu care își</w:t>
            </w:r>
            <w:r w:rsidR="00F75A62" w:rsidRPr="009161E4">
              <w:rPr>
                <w:rFonts w:cs="Arial"/>
              </w:rPr>
              <w:t xml:space="preserve"> asum</w:t>
            </w:r>
            <w:r w:rsidR="00DC14E1">
              <w:rPr>
                <w:rFonts w:cs="Arial"/>
              </w:rPr>
              <w:t>ă</w:t>
            </w:r>
            <w:r w:rsidR="00F75A62" w:rsidRPr="009161E4">
              <w:rPr>
                <w:rFonts w:cs="Arial"/>
              </w:rPr>
              <w:t xml:space="preserve"> răspunder</w:t>
            </w:r>
            <w:r w:rsidR="00DC14E1">
              <w:rPr>
                <w:rFonts w:cs="Arial"/>
              </w:rPr>
              <w:t>ea</w:t>
            </w:r>
            <w:r w:rsidR="00F75A62" w:rsidRPr="009161E4">
              <w:rPr>
                <w:rFonts w:cs="Arial"/>
              </w:rPr>
              <w:t>, Incheierea de autentificare nr. 2893/08.10.2018</w:t>
            </w:r>
            <w:r w:rsidR="009161E4" w:rsidRPr="009161E4">
              <w:rPr>
                <w:rFonts w:cs="Arial"/>
              </w:rPr>
              <w:t>, în care precizează că</w:t>
            </w:r>
            <w:r w:rsidR="00DC14E1">
              <w:rPr>
                <w:rFonts w:cs="Arial"/>
              </w:rPr>
              <w:t xml:space="preserve"> ,,</w:t>
            </w:r>
            <w:r w:rsidR="009161E4" w:rsidRPr="009161E4">
              <w:rPr>
                <w:rFonts w:cs="Arial"/>
              </w:rPr>
              <w:t>își asumă toate costurile pe care le</w:t>
            </w:r>
            <w:r w:rsidR="00DC14E1">
              <w:rPr>
                <w:rFonts w:cs="Arial"/>
              </w:rPr>
              <w:t xml:space="preserve"> </w:t>
            </w:r>
            <w:r w:rsidR="009161E4" w:rsidRPr="009161E4">
              <w:rPr>
                <w:rFonts w:cs="Arial"/>
              </w:rPr>
              <w:t>implică ocuparea temporară din circuitul silvic</w:t>
            </w:r>
            <w:r w:rsidR="00DC14E1" w:rsidRPr="009161E4">
              <w:rPr>
                <w:rFonts w:cs="Arial"/>
              </w:rPr>
              <w:t>”</w:t>
            </w:r>
            <w:r w:rsidR="00DC14E1">
              <w:rPr>
                <w:rFonts w:cs="Arial"/>
              </w:rPr>
              <w:t>. De asemenea</w:t>
            </w:r>
            <w:r w:rsidR="00AE463B">
              <w:rPr>
                <w:rFonts w:cs="Arial"/>
              </w:rPr>
              <w:t>,</w:t>
            </w:r>
            <w:r w:rsidR="00DC14E1">
              <w:rPr>
                <w:rFonts w:cs="Arial"/>
              </w:rPr>
              <w:t xml:space="preserve"> se precizează în acest act că taxele și contravaloarea chiriei aferentă persoanelor fizice va fi suportată de către </w:t>
            </w:r>
            <w:r w:rsidR="00DC14E1">
              <w:rPr>
                <w:rFonts w:cs="Arial"/>
              </w:rPr>
              <w:lastRenderedPageBreak/>
              <w:t>C.N.T.E.E. Transelectrica SA în ,,limita maximă stabilită prin fișele tehnice întocmite conform dispozițiilor legale în vigoare</w:t>
            </w:r>
            <w:r w:rsidR="00DC14E1">
              <w:rPr>
                <w:rFonts w:cs="Arial"/>
                <w:lang w:val="en-GB"/>
              </w:rPr>
              <w:t>”</w:t>
            </w:r>
            <w:r w:rsidR="00DC14E1">
              <w:rPr>
                <w:rFonts w:cs="Arial"/>
              </w:rPr>
              <w:t>.</w:t>
            </w:r>
          </w:p>
        </w:tc>
      </w:tr>
      <w:tr w:rsidR="00191E1B" w:rsidRPr="00E81280" w14:paraId="1B145512" w14:textId="77777777" w:rsidTr="00477E8B">
        <w:trPr>
          <w:trHeight w:val="503"/>
        </w:trPr>
        <w:tc>
          <w:tcPr>
            <w:tcW w:w="2683" w:type="dxa"/>
            <w:gridSpan w:val="2"/>
          </w:tcPr>
          <w:p w14:paraId="7FAB7F8C" w14:textId="77777777" w:rsidR="00191E1B" w:rsidRPr="00A431BA" w:rsidRDefault="00191E1B" w:rsidP="00191E1B">
            <w:r w:rsidRPr="00A431BA">
              <w:lastRenderedPageBreak/>
              <w:t>1</w:t>
            </w:r>
            <w:r w:rsidRPr="00A431BA">
              <w:rPr>
                <w:vertAlign w:val="superscript"/>
              </w:rPr>
              <w:t>1</w:t>
            </w:r>
            <w:r w:rsidRPr="00A431BA">
              <w:t xml:space="preserve"> În cazul proiectelor de acte normative care transpun legislaţie comunitară sau creează cadrul pentru aplicarea directă a acesteia</w:t>
            </w:r>
            <w:r>
              <w:t>.</w:t>
            </w:r>
          </w:p>
        </w:tc>
        <w:tc>
          <w:tcPr>
            <w:tcW w:w="7877" w:type="dxa"/>
            <w:gridSpan w:val="9"/>
          </w:tcPr>
          <w:p w14:paraId="71491A2A" w14:textId="77777777" w:rsidR="00191E1B" w:rsidRPr="00E81280" w:rsidRDefault="00191E1B" w:rsidP="00191E1B">
            <w:pPr>
              <w:jc w:val="both"/>
            </w:pPr>
            <w:r>
              <w:t xml:space="preserve">        </w:t>
            </w:r>
            <w:r w:rsidRPr="00AB6476">
              <w:t>Proiectul de act normativ nu se referă la acest subiect.</w:t>
            </w:r>
          </w:p>
          <w:p w14:paraId="1C7DA449" w14:textId="77777777" w:rsidR="00191E1B" w:rsidRPr="00E81280" w:rsidRDefault="00191E1B" w:rsidP="00191E1B">
            <w:pPr>
              <w:jc w:val="both"/>
            </w:pPr>
          </w:p>
        </w:tc>
      </w:tr>
      <w:tr w:rsidR="00191E1B" w:rsidRPr="00E81280" w14:paraId="40E023EB" w14:textId="77777777" w:rsidTr="00477E8B">
        <w:tc>
          <w:tcPr>
            <w:tcW w:w="2683" w:type="dxa"/>
            <w:gridSpan w:val="2"/>
          </w:tcPr>
          <w:p w14:paraId="76105121" w14:textId="77777777" w:rsidR="00191E1B" w:rsidRPr="00E81280" w:rsidRDefault="00191E1B" w:rsidP="00191E1B">
            <w:r w:rsidRPr="00E81280">
              <w:t>2. Schimbări preconizate</w:t>
            </w:r>
          </w:p>
        </w:tc>
        <w:tc>
          <w:tcPr>
            <w:tcW w:w="7877" w:type="dxa"/>
            <w:gridSpan w:val="9"/>
          </w:tcPr>
          <w:p w14:paraId="6B0544AA" w14:textId="3B1A89D8" w:rsidR="00191E1B" w:rsidRPr="00DC1480" w:rsidRDefault="00191E1B" w:rsidP="00191E1B">
            <w:pPr>
              <w:jc w:val="both"/>
            </w:pPr>
            <w:r w:rsidRPr="00674194">
              <w:t xml:space="preserve">         </w:t>
            </w:r>
            <w:r>
              <w:t xml:space="preserve">  </w:t>
            </w:r>
            <w:r w:rsidRPr="00DC1480">
              <w:t xml:space="preserve">Promovarea prezentului proiect de act normativ are drept scop </w:t>
            </w:r>
            <w:r w:rsidR="00A125C2" w:rsidRPr="0015786B">
              <w:t>aprobarea scoaterii definitive din fondul forestier naţional a terenului în suprafaţă de 1,0517 ha, aprobarea ocupării temporare pe o perioadă de 10 ani a terenului din fondul forestier național în suprafață de 146,0177 ha și aprobarea ocupării temporare pentru o perioadă de 2 ani a terenului din fondul forestier național în suprafață de 4,3016 ha de către Compania Naţională de Transport al Energiei Electrice Transelectrica S.A., în vederea realizării obiectivului „Trecerea la tensiunea de 400 kV a axului Porțile de Fier-Reșița-Timișoara-Săcălaz-Arad/LEA 400 kV Porțile de Fier-Anina-Reșița”</w:t>
            </w:r>
            <w:r w:rsidRPr="00E64F1B">
              <w:t>.</w:t>
            </w:r>
          </w:p>
          <w:p w14:paraId="44281A54" w14:textId="7CDD84A5" w:rsidR="00191E1B" w:rsidRDefault="00191E1B" w:rsidP="00191E1B">
            <w:pPr>
              <w:jc w:val="both"/>
            </w:pPr>
            <w:r w:rsidRPr="00AB6476">
              <w:t xml:space="preserve">       </w:t>
            </w:r>
            <w:r>
              <w:t xml:space="preserve">  </w:t>
            </w:r>
            <w:r w:rsidR="0015786B" w:rsidRPr="00DE5C16">
              <w:t xml:space="preserve">Scoaterea definitivă </w:t>
            </w:r>
            <w:r w:rsidR="0015786B">
              <w:t xml:space="preserve">și ocuparea temporară a terenurilor </w:t>
            </w:r>
            <w:r w:rsidR="0015786B" w:rsidRPr="00DE5C16">
              <w:t>din fondul forestier național se face cu defrișarea vegetației forestiere pe suprafața totală de 149,0179 ha</w:t>
            </w:r>
            <w:r w:rsidRPr="00AB6476">
              <w:t xml:space="preserve">. </w:t>
            </w:r>
          </w:p>
          <w:p w14:paraId="5186E9FF" w14:textId="276A75B0" w:rsidR="00191E1B" w:rsidRDefault="00191E1B" w:rsidP="00191E1B">
            <w:pPr>
              <w:ind w:firstLine="361"/>
              <w:jc w:val="both"/>
            </w:pPr>
            <w:r>
              <w:t xml:space="preserve">   Scoaterea definitivă a terenului din fondul forestier național se face fără compensare cu terenuri, potrivit art. 36 alin. (1) și (</w:t>
            </w:r>
            <w:r w:rsidR="0015786B">
              <w:t>2</w:t>
            </w:r>
            <w:r>
              <w:t xml:space="preserve">) din Legea nr. 46/2008 -  Codul silvic, republicată, cu modificările și completările ulterioare, obiectivul </w:t>
            </w:r>
            <w:r w:rsidRPr="00E64F1B">
              <w:rPr>
                <w:bCs/>
              </w:rPr>
              <w:t>„</w:t>
            </w:r>
            <w:r w:rsidR="0015786B" w:rsidRPr="0015786B">
              <w:t>Trecerea la tensiunea de 400 kV a axului Porțile de Fier-Reșița-Timișoara-Săcălaz-Arad/LEA 400 kV Porțile de Fier-Anina-Reșița</w:t>
            </w:r>
            <w:r>
              <w:t>”, fiind declarat de interes național și utilitate publică, potrivit Legii nr. 255/2010</w:t>
            </w:r>
            <w:r w:rsidR="005E26F2">
              <w:t>,</w:t>
            </w:r>
            <w:r>
              <w:t xml:space="preserve"> Hotărârii  Guvernului nr. 53/201</w:t>
            </w:r>
            <w:r w:rsidR="0015786B">
              <w:t>1</w:t>
            </w:r>
            <w:r w:rsidR="005E26F2">
              <w:t xml:space="preserve"> și </w:t>
            </w:r>
            <w:r w:rsidR="005E26F2" w:rsidRPr="00D6340D">
              <w:t>H</w:t>
            </w:r>
            <w:r w:rsidR="005E26F2">
              <w:t xml:space="preserve">otărârii </w:t>
            </w:r>
            <w:r w:rsidR="005E26F2" w:rsidRPr="00D6340D">
              <w:t>G</w:t>
            </w:r>
            <w:r w:rsidR="005E26F2">
              <w:t>uvernului</w:t>
            </w:r>
            <w:r w:rsidR="005E26F2" w:rsidRPr="00D6340D">
              <w:t xml:space="preserve"> nr. </w:t>
            </w:r>
            <w:r w:rsidR="005E26F2">
              <w:t>917</w:t>
            </w:r>
            <w:r w:rsidR="005E26F2" w:rsidRPr="00D6340D">
              <w:t>/201</w:t>
            </w:r>
            <w:r w:rsidR="005E26F2">
              <w:t>6</w:t>
            </w:r>
            <w:r>
              <w:t>.</w:t>
            </w:r>
          </w:p>
          <w:p w14:paraId="3FCBC18A" w14:textId="40E51576" w:rsidR="00191E1B" w:rsidRDefault="00191E1B" w:rsidP="00191E1B">
            <w:pPr>
              <w:ind w:firstLine="361"/>
              <w:jc w:val="both"/>
            </w:pPr>
            <w:r>
              <w:t xml:space="preserve">   Potrivit art. 38 alin. </w:t>
            </w:r>
            <w:r w:rsidRPr="00531AC7">
              <w:t>(1) </w:t>
            </w:r>
            <w:r>
              <w:t xml:space="preserve">din Legea nr. 46/2008 -  Codul Silvic, </w:t>
            </w:r>
            <w:r w:rsidR="00AE463B">
              <w:t>t</w:t>
            </w:r>
            <w:r w:rsidRPr="00531AC7">
              <w:t>erenurile scoase definitiv din fondul forestier național devin proprietatea beneficiarului în momentul efectuării operațiunii de predare-primire și dobândesc destinația pe care acesta a solicitat-o și care i-a fost aprobată.</w:t>
            </w:r>
          </w:p>
          <w:p w14:paraId="740FB40F" w14:textId="2D390D77" w:rsidR="00191E1B" w:rsidRDefault="00191E1B" w:rsidP="00191E1B">
            <w:pPr>
              <w:jc w:val="both"/>
            </w:pPr>
            <w:r>
              <w:t xml:space="preserve">         </w:t>
            </w:r>
            <w:r w:rsidRPr="00F2260A">
              <w:t xml:space="preserve">Predarea terenului </w:t>
            </w:r>
            <w:r>
              <w:t>forestier</w:t>
            </w:r>
            <w:r w:rsidRPr="00F2260A">
              <w:t xml:space="preserve"> se va face </w:t>
            </w:r>
            <w:r>
              <w:t xml:space="preserve">numai </w:t>
            </w:r>
            <w:r w:rsidRPr="00F2260A">
              <w:t>în pr</w:t>
            </w:r>
            <w:r>
              <w:t>ezenţa reprezentantului Gărzii f</w:t>
            </w:r>
            <w:r w:rsidRPr="00F2260A">
              <w:t>orestiere Râmnicu Vâlcea</w:t>
            </w:r>
            <w:r w:rsidR="005E26F2">
              <w:t xml:space="preserve"> și Gărzii Forestiere Timișoara</w:t>
            </w:r>
            <w:r>
              <w:t xml:space="preserve">, potrivit prevederilor art. 41 alin. (3) </w:t>
            </w:r>
            <w:r w:rsidRPr="00F2260A">
              <w:t>din Legea nr. 46/2008</w:t>
            </w:r>
            <w:r>
              <w:t xml:space="preserve"> -</w:t>
            </w:r>
            <w:r w:rsidRPr="005B4264">
              <w:t xml:space="preserve"> </w:t>
            </w:r>
            <w:r w:rsidRPr="00F2260A">
              <w:t>Codul silvic, republicată, cu modificările şi completările ulterioare</w:t>
            </w:r>
            <w:r>
              <w:t>.</w:t>
            </w:r>
          </w:p>
          <w:p w14:paraId="00C661DB" w14:textId="2F751E52" w:rsidR="009A08EC" w:rsidRDefault="009A08EC" w:rsidP="009A08EC">
            <w:pPr>
              <w:ind w:firstLine="541"/>
              <w:jc w:val="both"/>
            </w:pPr>
            <w:r>
              <w:t xml:space="preserve">Terenurile care se scot definitiv din fondul forestier național care sunt proprietate a U.A.T.-urilor devin proprietate publică a statului potrivit prevederilor </w:t>
            </w:r>
            <w:r w:rsidRPr="00DE3154">
              <w:t>art. 3</w:t>
            </w:r>
            <w:r>
              <w:t>8</w:t>
            </w:r>
            <w:r w:rsidRPr="00DE3154">
              <w:t xml:space="preserve"> alin. (</w:t>
            </w:r>
            <w:r>
              <w:t>1</w:t>
            </w:r>
            <w:r w:rsidRPr="00DE3154">
              <w:t>) din Legea nr. 46/2008 - Codul silvic</w:t>
            </w:r>
            <w:r w:rsidR="00AE463B">
              <w:t>.</w:t>
            </w:r>
          </w:p>
          <w:p w14:paraId="197B87A2" w14:textId="2945AECE" w:rsidR="00191E1B" w:rsidRDefault="00191E1B" w:rsidP="00191E1B">
            <w:pPr>
              <w:jc w:val="both"/>
            </w:pPr>
            <w:r>
              <w:t xml:space="preserve">          </w:t>
            </w:r>
            <w:bookmarkStart w:id="1" w:name="_Hlk527277268"/>
            <w:r w:rsidR="005E26F2" w:rsidRPr="0015786B">
              <w:t>Compania Naţională de Transport al Energiei Electrice Transelectrica S.A.</w:t>
            </w:r>
            <w:r w:rsidR="005E26F2">
              <w:t xml:space="preserve"> </w:t>
            </w:r>
            <w:r>
              <w:t>va</w:t>
            </w:r>
            <w:r w:rsidRPr="00F2260A">
              <w:t xml:space="preserve"> opera modificările la cartea funciară intervenite ca urmare a schimbării destinaţiei terenurilor </w:t>
            </w:r>
            <w:r>
              <w:t>forestiere</w:t>
            </w:r>
            <w:r w:rsidRPr="00F2260A">
              <w:t xml:space="preserve"> în baza p</w:t>
            </w:r>
            <w:r>
              <w:t>rezentei hotărâri şi a procesului</w:t>
            </w:r>
            <w:r w:rsidRPr="00F2260A">
              <w:t>-verbal încheiat, în condiţiile legii, potrivit prevederilor art. 37 alin. (9) din Legea nr. 46/2008</w:t>
            </w:r>
            <w:r>
              <w:t xml:space="preserve"> -</w:t>
            </w:r>
            <w:r w:rsidRPr="005B4264">
              <w:t xml:space="preserve"> </w:t>
            </w:r>
            <w:r>
              <w:t>Codul silvic.</w:t>
            </w:r>
            <w:bookmarkEnd w:id="1"/>
            <w:r w:rsidRPr="00F2260A">
              <w:t xml:space="preserve"> </w:t>
            </w:r>
          </w:p>
          <w:p w14:paraId="617782C2" w14:textId="77777777" w:rsidR="00191E1B" w:rsidRPr="00AA43FB" w:rsidRDefault="00191E1B" w:rsidP="00191E1B">
            <w:pPr>
              <w:ind w:firstLine="503"/>
              <w:jc w:val="both"/>
            </w:pPr>
            <w:r w:rsidRPr="00AA43FB">
              <w:t>Masa lemnoasă de pe terenul forestier scos defintiv din fondul forestier național se va precompta şi se va exploata conform prevederilor legale în vigoare.</w:t>
            </w:r>
          </w:p>
        </w:tc>
      </w:tr>
      <w:tr w:rsidR="00191E1B" w:rsidRPr="00E81280" w14:paraId="2FB63CC5" w14:textId="77777777" w:rsidTr="00477E8B">
        <w:tc>
          <w:tcPr>
            <w:tcW w:w="2683" w:type="dxa"/>
            <w:gridSpan w:val="2"/>
          </w:tcPr>
          <w:p w14:paraId="71CEC73C" w14:textId="77777777" w:rsidR="00191E1B" w:rsidRPr="00E81280" w:rsidRDefault="00191E1B" w:rsidP="00191E1B">
            <w:r w:rsidRPr="00E81280">
              <w:t>3. Alte informaţii</w:t>
            </w:r>
          </w:p>
        </w:tc>
        <w:tc>
          <w:tcPr>
            <w:tcW w:w="7877" w:type="dxa"/>
            <w:gridSpan w:val="9"/>
          </w:tcPr>
          <w:p w14:paraId="5719C5A9" w14:textId="77777777" w:rsidR="00191E1B" w:rsidRDefault="00191E1B" w:rsidP="00191E1B">
            <w:pPr>
              <w:ind w:firstLine="503"/>
              <w:jc w:val="both"/>
            </w:pPr>
            <w:r>
              <w:t xml:space="preserve"> </w:t>
            </w:r>
            <w:r w:rsidRPr="00CA4DEE">
              <w:t>Bunurile prevăzute de prezentul proiect de act normativ nu fac obiectul unor cereri de reconstituire a dreptului de proprietate privată sau de restituire, depuse în temeiul actelor normative cu caracter special privind fondul funciar, respectiv cele care reglementează regimul juridic al imobilelor preluate abuziv de statul român în perioada 6 martie 1945 – 22 decembrie 1989, nu sunt grevate de sarcini şi nu formează obiectul unor litigii.</w:t>
            </w:r>
          </w:p>
          <w:p w14:paraId="24BE32F9" w14:textId="39DFBB1B" w:rsidR="001F35CB" w:rsidRPr="00CA4DEE" w:rsidRDefault="001F35CB" w:rsidP="00191E1B">
            <w:pPr>
              <w:ind w:firstLine="503"/>
              <w:jc w:val="both"/>
            </w:pPr>
          </w:p>
        </w:tc>
      </w:tr>
      <w:tr w:rsidR="00191E1B" w:rsidRPr="00E81280" w14:paraId="35A1E17E" w14:textId="77777777" w:rsidTr="00477E8B">
        <w:trPr>
          <w:trHeight w:val="493"/>
        </w:trPr>
        <w:tc>
          <w:tcPr>
            <w:tcW w:w="10560" w:type="dxa"/>
            <w:gridSpan w:val="11"/>
          </w:tcPr>
          <w:p w14:paraId="7D4621E3" w14:textId="77777777" w:rsidR="00191E1B" w:rsidRDefault="00191E1B" w:rsidP="00191E1B">
            <w:pPr>
              <w:rPr>
                <w:b/>
              </w:rPr>
            </w:pPr>
          </w:p>
          <w:p w14:paraId="068EF6E2" w14:textId="77777777" w:rsidR="00191E1B" w:rsidRPr="00E81280" w:rsidRDefault="00191E1B" w:rsidP="00191E1B">
            <w:pPr>
              <w:jc w:val="center"/>
              <w:rPr>
                <w:b/>
              </w:rPr>
            </w:pPr>
            <w:r w:rsidRPr="00E81280">
              <w:rPr>
                <w:b/>
              </w:rPr>
              <w:t>Secţiunea a 3-a: Impactul socio-economic al proiectului de act normativ</w:t>
            </w:r>
          </w:p>
        </w:tc>
      </w:tr>
      <w:tr w:rsidR="00191E1B" w:rsidRPr="00E81280" w14:paraId="6073A35E" w14:textId="77777777" w:rsidTr="00477E8B">
        <w:tc>
          <w:tcPr>
            <w:tcW w:w="2670" w:type="dxa"/>
          </w:tcPr>
          <w:p w14:paraId="1E546AC1" w14:textId="77777777" w:rsidR="00191E1B" w:rsidRPr="00E81280" w:rsidRDefault="00191E1B" w:rsidP="00191E1B">
            <w:r w:rsidRPr="00E81280">
              <w:t>1. Impactul macroeconomic</w:t>
            </w:r>
          </w:p>
        </w:tc>
        <w:tc>
          <w:tcPr>
            <w:tcW w:w="7890" w:type="dxa"/>
            <w:gridSpan w:val="10"/>
          </w:tcPr>
          <w:p w14:paraId="279028A2" w14:textId="77777777" w:rsidR="00191E1B" w:rsidRPr="00E81280" w:rsidRDefault="00191E1B" w:rsidP="00191E1B">
            <w:pPr>
              <w:jc w:val="both"/>
            </w:pPr>
            <w:r>
              <w:t xml:space="preserve">    </w:t>
            </w:r>
            <w:r w:rsidRPr="00E81280">
              <w:t xml:space="preserve">Proiectul de act normativ nu are impact la nivel macroeconomic. </w:t>
            </w:r>
          </w:p>
        </w:tc>
      </w:tr>
      <w:tr w:rsidR="00191E1B" w:rsidRPr="00E81280" w14:paraId="7FF290A8" w14:textId="77777777" w:rsidTr="00477E8B">
        <w:trPr>
          <w:trHeight w:val="1152"/>
        </w:trPr>
        <w:tc>
          <w:tcPr>
            <w:tcW w:w="2670" w:type="dxa"/>
          </w:tcPr>
          <w:p w14:paraId="4F4F4927" w14:textId="77777777" w:rsidR="00191E1B" w:rsidRPr="00E81280" w:rsidRDefault="00191E1B" w:rsidP="00191E1B">
            <w:r w:rsidRPr="00E81280">
              <w:t>1</w:t>
            </w:r>
            <w:r w:rsidRPr="00E81280">
              <w:rPr>
                <w:vertAlign w:val="superscript"/>
              </w:rPr>
              <w:t>1</w:t>
            </w:r>
            <w:r>
              <w:t>.</w:t>
            </w:r>
            <w:r w:rsidRPr="00E81280">
              <w:t xml:space="preserve">Impactul asupra </w:t>
            </w:r>
            <w:r>
              <w:t xml:space="preserve">mediului </w:t>
            </w:r>
            <w:r w:rsidRPr="00E81280">
              <w:t>concurenţial şi domeniului ajutoarelor de stat</w:t>
            </w:r>
          </w:p>
        </w:tc>
        <w:tc>
          <w:tcPr>
            <w:tcW w:w="7890" w:type="dxa"/>
            <w:gridSpan w:val="10"/>
          </w:tcPr>
          <w:p w14:paraId="2FB64E9C" w14:textId="77777777" w:rsidR="00191E1B" w:rsidRPr="00E81280" w:rsidRDefault="00191E1B" w:rsidP="00191E1B">
            <w:pPr>
              <w:jc w:val="both"/>
            </w:pPr>
            <w:r>
              <w:t xml:space="preserve">    </w:t>
            </w:r>
            <w:r w:rsidRPr="00AB6476">
              <w:t>Proiectul de act normativ nu se referă la acest subiect.</w:t>
            </w:r>
          </w:p>
        </w:tc>
      </w:tr>
      <w:tr w:rsidR="00191E1B" w:rsidRPr="00E81280" w14:paraId="54A2AD62" w14:textId="77777777" w:rsidTr="00477E8B">
        <w:trPr>
          <w:trHeight w:val="1152"/>
        </w:trPr>
        <w:tc>
          <w:tcPr>
            <w:tcW w:w="2670" w:type="dxa"/>
          </w:tcPr>
          <w:p w14:paraId="17A48301" w14:textId="77777777" w:rsidR="00191E1B" w:rsidRPr="00E81280" w:rsidRDefault="00191E1B" w:rsidP="00191E1B">
            <w:r w:rsidRPr="00E81280">
              <w:t>2. Impactul asupra mediului de afaceri</w:t>
            </w:r>
          </w:p>
          <w:p w14:paraId="1D428E83" w14:textId="77777777" w:rsidR="00191E1B" w:rsidRPr="00E81280" w:rsidRDefault="00191E1B" w:rsidP="00191E1B"/>
        </w:tc>
        <w:tc>
          <w:tcPr>
            <w:tcW w:w="7890" w:type="dxa"/>
            <w:gridSpan w:val="10"/>
          </w:tcPr>
          <w:p w14:paraId="1D620691" w14:textId="77777777" w:rsidR="00191E1B" w:rsidRDefault="00191E1B" w:rsidP="00191E1B">
            <w:pPr>
              <w:jc w:val="both"/>
            </w:pPr>
            <w:r>
              <w:t xml:space="preserve">     </w:t>
            </w:r>
            <w:r w:rsidRPr="00AB6476">
              <w:t xml:space="preserve">Proiectul de act normativ nu se referă la acest subiect.     </w:t>
            </w:r>
          </w:p>
        </w:tc>
      </w:tr>
      <w:tr w:rsidR="00191E1B" w:rsidRPr="00E81280" w14:paraId="060DCF14" w14:textId="77777777" w:rsidTr="00477E8B">
        <w:trPr>
          <w:trHeight w:val="593"/>
        </w:trPr>
        <w:tc>
          <w:tcPr>
            <w:tcW w:w="2670" w:type="dxa"/>
          </w:tcPr>
          <w:p w14:paraId="7FE27817" w14:textId="77777777" w:rsidR="00191E1B" w:rsidRPr="00E81280" w:rsidRDefault="00191E1B" w:rsidP="00191E1B">
            <w:r>
              <w:t>2</w:t>
            </w:r>
            <w:r w:rsidRPr="00E81280">
              <w:rPr>
                <w:vertAlign w:val="superscript"/>
              </w:rPr>
              <w:t>1</w:t>
            </w:r>
            <w:r>
              <w:rPr>
                <w:vertAlign w:val="superscript"/>
              </w:rPr>
              <w:t xml:space="preserve"> </w:t>
            </w:r>
            <w:r>
              <w:t>Impactul asupra sarcinilor administrative</w:t>
            </w:r>
          </w:p>
        </w:tc>
        <w:tc>
          <w:tcPr>
            <w:tcW w:w="7890" w:type="dxa"/>
            <w:gridSpan w:val="10"/>
          </w:tcPr>
          <w:p w14:paraId="2E261559" w14:textId="77777777" w:rsidR="00191E1B" w:rsidRPr="00AB6476" w:rsidRDefault="00191E1B" w:rsidP="00191E1B">
            <w:pPr>
              <w:ind w:firstLine="232"/>
              <w:jc w:val="both"/>
            </w:pPr>
            <w:r>
              <w:t xml:space="preserve"> </w:t>
            </w:r>
            <w:r w:rsidRPr="00AB6476">
              <w:t>Proiectul de act normativ nu se referă la acest subiect.</w:t>
            </w:r>
          </w:p>
        </w:tc>
      </w:tr>
      <w:tr w:rsidR="00191E1B" w:rsidRPr="00E81280" w14:paraId="5AC7EBC8" w14:textId="77777777" w:rsidTr="00477E8B">
        <w:tc>
          <w:tcPr>
            <w:tcW w:w="2670" w:type="dxa"/>
          </w:tcPr>
          <w:p w14:paraId="5ACDDA47" w14:textId="77777777" w:rsidR="00191E1B" w:rsidRPr="00FF2C52" w:rsidRDefault="00191E1B" w:rsidP="00191E1B">
            <w:r>
              <w:t>2</w:t>
            </w:r>
            <w:r>
              <w:rPr>
                <w:vertAlign w:val="superscript"/>
              </w:rPr>
              <w:t>2</w:t>
            </w:r>
            <w:r>
              <w:t xml:space="preserve"> Impactul asupra întreprinderilor mici şi mijlocii</w:t>
            </w:r>
          </w:p>
        </w:tc>
        <w:tc>
          <w:tcPr>
            <w:tcW w:w="7890" w:type="dxa"/>
            <w:gridSpan w:val="10"/>
          </w:tcPr>
          <w:p w14:paraId="263BAF7C" w14:textId="77777777" w:rsidR="00191E1B" w:rsidRPr="00E81280" w:rsidRDefault="00191E1B" w:rsidP="00191E1B">
            <w:pPr>
              <w:jc w:val="both"/>
              <w:rPr>
                <w:highlight w:val="yellow"/>
                <w:u w:val="single"/>
              </w:rPr>
            </w:pPr>
            <w:r w:rsidRPr="00A66BF4">
              <w:t xml:space="preserve">       </w:t>
            </w:r>
            <w:r w:rsidRPr="00AB6476">
              <w:t>Proiectul de act normativ nu se referă la acest subiect.</w:t>
            </w:r>
          </w:p>
        </w:tc>
      </w:tr>
      <w:tr w:rsidR="00191E1B" w:rsidRPr="00E81280" w14:paraId="08E8002C" w14:textId="77777777" w:rsidTr="00477E8B">
        <w:tc>
          <w:tcPr>
            <w:tcW w:w="2670" w:type="dxa"/>
          </w:tcPr>
          <w:p w14:paraId="42AD394A" w14:textId="77777777" w:rsidR="00191E1B" w:rsidRPr="00E81280" w:rsidRDefault="00191E1B" w:rsidP="00191E1B">
            <w:pPr>
              <w:spacing w:line="360" w:lineRule="auto"/>
            </w:pPr>
            <w:r w:rsidRPr="00E81280">
              <w:t>3. Impactul social</w:t>
            </w:r>
          </w:p>
        </w:tc>
        <w:tc>
          <w:tcPr>
            <w:tcW w:w="7890" w:type="dxa"/>
            <w:gridSpan w:val="10"/>
          </w:tcPr>
          <w:p w14:paraId="0A7B995D" w14:textId="77777777" w:rsidR="00191E1B" w:rsidRPr="00E81280" w:rsidRDefault="00191E1B" w:rsidP="00191E1B">
            <w:pPr>
              <w:jc w:val="both"/>
              <w:rPr>
                <w:bCs/>
              </w:rPr>
            </w:pPr>
            <w:r>
              <w:t xml:space="preserve">     </w:t>
            </w:r>
            <w:r w:rsidRPr="00AB6476">
              <w:t>Proiectul de act normativ nu se referă la acest subiect.</w:t>
            </w:r>
          </w:p>
          <w:p w14:paraId="42B73138" w14:textId="77777777" w:rsidR="00191E1B" w:rsidRPr="00E81280" w:rsidRDefault="00191E1B" w:rsidP="00191E1B">
            <w:pPr>
              <w:jc w:val="both"/>
              <w:rPr>
                <w:bCs/>
                <w:highlight w:val="yellow"/>
              </w:rPr>
            </w:pPr>
          </w:p>
        </w:tc>
      </w:tr>
      <w:tr w:rsidR="00191E1B" w:rsidRPr="00E81280" w14:paraId="5949ADD3" w14:textId="77777777" w:rsidTr="00477E8B">
        <w:tc>
          <w:tcPr>
            <w:tcW w:w="2670" w:type="dxa"/>
          </w:tcPr>
          <w:p w14:paraId="475B4EC2" w14:textId="77777777" w:rsidR="00191E1B" w:rsidRPr="00E81280" w:rsidRDefault="00191E1B" w:rsidP="00191E1B">
            <w:r w:rsidRPr="00E81280">
              <w:t xml:space="preserve">4. Impactul asupra mediului </w:t>
            </w:r>
          </w:p>
        </w:tc>
        <w:tc>
          <w:tcPr>
            <w:tcW w:w="7890" w:type="dxa"/>
            <w:gridSpan w:val="10"/>
          </w:tcPr>
          <w:p w14:paraId="14E939DA" w14:textId="77777777" w:rsidR="00191E1B" w:rsidRPr="00F336ED" w:rsidRDefault="00191E1B" w:rsidP="00191E1B">
            <w:pPr>
              <w:jc w:val="both"/>
            </w:pPr>
            <w:r w:rsidRPr="00F336ED">
              <w:t xml:space="preserve">    </w:t>
            </w:r>
            <w:r>
              <w:t xml:space="preserve"> </w:t>
            </w:r>
            <w:r w:rsidRPr="00F336ED">
              <w:t xml:space="preserve"> Evaluarea impactului asupra mediului se realizează de către autoritatea competentă în domeniu. </w:t>
            </w:r>
          </w:p>
          <w:p w14:paraId="525D1DB6" w14:textId="56E588AC" w:rsidR="00191E1B" w:rsidRPr="00E81280" w:rsidRDefault="00191E1B" w:rsidP="00191E1B">
            <w:pPr>
              <w:ind w:firstLine="232"/>
              <w:jc w:val="both"/>
              <w:rPr>
                <w:highlight w:val="yellow"/>
              </w:rPr>
            </w:pPr>
            <w:r>
              <w:t xml:space="preserve">  </w:t>
            </w:r>
            <w:r w:rsidR="00560C3D">
              <w:t>Agenția Națională pentru Protecția Mediului a emis Acordul de mediu nr. 6/21.11.2013</w:t>
            </w:r>
            <w:r>
              <w:t>.</w:t>
            </w:r>
          </w:p>
        </w:tc>
      </w:tr>
      <w:tr w:rsidR="00191E1B" w:rsidRPr="00E81280" w14:paraId="34EC4DB7" w14:textId="77777777" w:rsidTr="00477E8B">
        <w:tc>
          <w:tcPr>
            <w:tcW w:w="2670" w:type="dxa"/>
          </w:tcPr>
          <w:p w14:paraId="7A9E6844" w14:textId="77777777" w:rsidR="00191E1B" w:rsidRPr="00E81280" w:rsidRDefault="00191E1B" w:rsidP="00191E1B">
            <w:r w:rsidRPr="00E81280">
              <w:t>5. Alte informaţii</w:t>
            </w:r>
          </w:p>
        </w:tc>
        <w:tc>
          <w:tcPr>
            <w:tcW w:w="7890" w:type="dxa"/>
            <w:gridSpan w:val="10"/>
          </w:tcPr>
          <w:p w14:paraId="2A12F922" w14:textId="77777777" w:rsidR="00191E1B" w:rsidRPr="00E81280" w:rsidRDefault="00191E1B" w:rsidP="00191E1B">
            <w:pPr>
              <w:jc w:val="both"/>
            </w:pPr>
            <w:r>
              <w:t xml:space="preserve">     </w:t>
            </w:r>
          </w:p>
        </w:tc>
      </w:tr>
      <w:tr w:rsidR="00191E1B" w:rsidRPr="00E81280" w14:paraId="0772029F" w14:textId="77777777" w:rsidTr="00477E8B">
        <w:tc>
          <w:tcPr>
            <w:tcW w:w="10560" w:type="dxa"/>
            <w:gridSpan w:val="11"/>
          </w:tcPr>
          <w:p w14:paraId="686E4071" w14:textId="77777777" w:rsidR="00191E1B" w:rsidRDefault="00191E1B" w:rsidP="00191E1B">
            <w:pPr>
              <w:jc w:val="center"/>
              <w:rPr>
                <w:b/>
              </w:rPr>
            </w:pPr>
            <w:r w:rsidRPr="00E81280">
              <w:rPr>
                <w:b/>
              </w:rPr>
              <w:t>Secţiunea a 4-a: Impactul financiar asupra bugetului general consolidat, atât pe termen scurt, pentru anul curent, cât şi pe termen lung (pe 5 ani)</w:t>
            </w:r>
          </w:p>
          <w:p w14:paraId="68AB1C85" w14:textId="77777777" w:rsidR="00191E1B" w:rsidRPr="006672EB" w:rsidRDefault="00191E1B" w:rsidP="00191E1B">
            <w:r w:rsidRPr="006672EB">
              <w:t xml:space="preserve">Proiectul de act normativ nu are impact asupra bugetului </w:t>
            </w:r>
            <w:r>
              <w:t xml:space="preserve">general </w:t>
            </w:r>
            <w:r w:rsidRPr="006672EB">
              <w:t>consolidat</w:t>
            </w:r>
          </w:p>
        </w:tc>
      </w:tr>
      <w:tr w:rsidR="00191E1B" w:rsidRPr="00E81280" w14:paraId="647C9D2D" w14:textId="77777777" w:rsidTr="00477E8B">
        <w:tc>
          <w:tcPr>
            <w:tcW w:w="10560" w:type="dxa"/>
            <w:gridSpan w:val="11"/>
          </w:tcPr>
          <w:p w14:paraId="3BDB3B3E" w14:textId="77777777" w:rsidR="00191E1B" w:rsidRPr="00E81280" w:rsidRDefault="00191E1B" w:rsidP="00191E1B">
            <w:pPr>
              <w:spacing w:line="360" w:lineRule="auto"/>
              <w:jc w:val="right"/>
            </w:pPr>
            <w:r w:rsidRPr="00E81280">
              <w:t>- mii lei -</w:t>
            </w:r>
          </w:p>
        </w:tc>
      </w:tr>
      <w:tr w:rsidR="00191E1B" w:rsidRPr="00E81280" w14:paraId="20DEEB52" w14:textId="77777777" w:rsidTr="00477E8B">
        <w:trPr>
          <w:trHeight w:val="564"/>
        </w:trPr>
        <w:tc>
          <w:tcPr>
            <w:tcW w:w="4478" w:type="dxa"/>
            <w:gridSpan w:val="3"/>
          </w:tcPr>
          <w:p w14:paraId="1BA6B785" w14:textId="77777777" w:rsidR="00191E1B" w:rsidRPr="00E81280" w:rsidRDefault="00191E1B" w:rsidP="00191E1B">
            <w:pPr>
              <w:spacing w:line="360" w:lineRule="auto"/>
              <w:jc w:val="center"/>
            </w:pPr>
            <w:r w:rsidRPr="00E81280">
              <w:t>Indicatori</w:t>
            </w:r>
          </w:p>
        </w:tc>
        <w:tc>
          <w:tcPr>
            <w:tcW w:w="900" w:type="dxa"/>
            <w:gridSpan w:val="2"/>
          </w:tcPr>
          <w:p w14:paraId="65DB1991" w14:textId="77777777" w:rsidR="00191E1B" w:rsidRPr="00E81280" w:rsidRDefault="00191E1B" w:rsidP="00191E1B">
            <w:pPr>
              <w:jc w:val="center"/>
            </w:pPr>
            <w:r w:rsidRPr="00E81280">
              <w:t>Anul</w:t>
            </w:r>
          </w:p>
          <w:p w14:paraId="2170CEFB" w14:textId="77777777" w:rsidR="00191E1B" w:rsidRPr="00E81280" w:rsidRDefault="00191E1B" w:rsidP="00191E1B">
            <w:pPr>
              <w:jc w:val="center"/>
            </w:pPr>
            <w:r w:rsidRPr="00E81280">
              <w:t>curent</w:t>
            </w:r>
          </w:p>
        </w:tc>
        <w:tc>
          <w:tcPr>
            <w:tcW w:w="4042" w:type="dxa"/>
            <w:gridSpan w:val="5"/>
          </w:tcPr>
          <w:p w14:paraId="7FC13DF5" w14:textId="77777777" w:rsidR="00191E1B" w:rsidRPr="00E81280" w:rsidRDefault="00191E1B" w:rsidP="00191E1B">
            <w:pPr>
              <w:jc w:val="center"/>
            </w:pPr>
            <w:r w:rsidRPr="00E81280">
              <w:t>Următorii</w:t>
            </w:r>
          </w:p>
          <w:p w14:paraId="3372EAD9" w14:textId="77777777" w:rsidR="00191E1B" w:rsidRPr="00E81280" w:rsidRDefault="00191E1B" w:rsidP="00191E1B">
            <w:pPr>
              <w:jc w:val="center"/>
            </w:pPr>
            <w:r w:rsidRPr="00E81280">
              <w:t>4 ani</w:t>
            </w:r>
          </w:p>
        </w:tc>
        <w:tc>
          <w:tcPr>
            <w:tcW w:w="1140" w:type="dxa"/>
          </w:tcPr>
          <w:p w14:paraId="5AA850A3" w14:textId="77777777" w:rsidR="00191E1B" w:rsidRPr="00E81280" w:rsidRDefault="00191E1B" w:rsidP="00191E1B">
            <w:pPr>
              <w:jc w:val="center"/>
            </w:pPr>
            <w:r w:rsidRPr="00E81280">
              <w:t>Media</w:t>
            </w:r>
          </w:p>
          <w:p w14:paraId="062A53D6" w14:textId="77777777" w:rsidR="00191E1B" w:rsidRPr="00E81280" w:rsidRDefault="00191E1B" w:rsidP="00191E1B">
            <w:pPr>
              <w:jc w:val="center"/>
            </w:pPr>
            <w:r w:rsidRPr="00E81280">
              <w:t>pe 5 ani</w:t>
            </w:r>
          </w:p>
        </w:tc>
      </w:tr>
      <w:tr w:rsidR="00191E1B" w:rsidRPr="00E81280" w14:paraId="74A9CE11" w14:textId="77777777" w:rsidTr="00477E8B">
        <w:trPr>
          <w:trHeight w:val="170"/>
        </w:trPr>
        <w:tc>
          <w:tcPr>
            <w:tcW w:w="4478" w:type="dxa"/>
            <w:gridSpan w:val="3"/>
          </w:tcPr>
          <w:p w14:paraId="22F67392" w14:textId="77777777" w:rsidR="00191E1B" w:rsidRPr="00E81280" w:rsidRDefault="00191E1B" w:rsidP="00191E1B">
            <w:pPr>
              <w:spacing w:line="360" w:lineRule="auto"/>
              <w:jc w:val="center"/>
            </w:pPr>
            <w:r w:rsidRPr="00E81280">
              <w:t>1</w:t>
            </w:r>
          </w:p>
        </w:tc>
        <w:tc>
          <w:tcPr>
            <w:tcW w:w="900" w:type="dxa"/>
            <w:gridSpan w:val="2"/>
          </w:tcPr>
          <w:p w14:paraId="63BC6627" w14:textId="77777777" w:rsidR="00191E1B" w:rsidRPr="00E81280" w:rsidRDefault="00191E1B" w:rsidP="00191E1B">
            <w:pPr>
              <w:spacing w:line="360" w:lineRule="auto"/>
              <w:jc w:val="center"/>
            </w:pPr>
            <w:r w:rsidRPr="00E81280">
              <w:t>2</w:t>
            </w:r>
          </w:p>
        </w:tc>
        <w:tc>
          <w:tcPr>
            <w:tcW w:w="1072" w:type="dxa"/>
          </w:tcPr>
          <w:p w14:paraId="4DA7D643" w14:textId="77777777" w:rsidR="00191E1B" w:rsidRPr="00E81280" w:rsidRDefault="00191E1B" w:rsidP="00191E1B">
            <w:pPr>
              <w:spacing w:line="360" w:lineRule="auto"/>
              <w:jc w:val="center"/>
            </w:pPr>
            <w:r w:rsidRPr="00E81280">
              <w:t>3</w:t>
            </w:r>
          </w:p>
        </w:tc>
        <w:tc>
          <w:tcPr>
            <w:tcW w:w="990" w:type="dxa"/>
            <w:gridSpan w:val="2"/>
          </w:tcPr>
          <w:p w14:paraId="3AD397FD" w14:textId="77777777" w:rsidR="00191E1B" w:rsidRPr="00E81280" w:rsidRDefault="00191E1B" w:rsidP="00191E1B">
            <w:pPr>
              <w:spacing w:line="360" w:lineRule="auto"/>
              <w:jc w:val="center"/>
            </w:pPr>
            <w:r w:rsidRPr="00E81280">
              <w:t>4</w:t>
            </w:r>
          </w:p>
        </w:tc>
        <w:tc>
          <w:tcPr>
            <w:tcW w:w="990" w:type="dxa"/>
          </w:tcPr>
          <w:p w14:paraId="627AA1F8" w14:textId="77777777" w:rsidR="00191E1B" w:rsidRPr="00E81280" w:rsidRDefault="00191E1B" w:rsidP="00191E1B">
            <w:pPr>
              <w:spacing w:line="360" w:lineRule="auto"/>
              <w:jc w:val="center"/>
            </w:pPr>
            <w:r w:rsidRPr="00E81280">
              <w:t>5</w:t>
            </w:r>
          </w:p>
        </w:tc>
        <w:tc>
          <w:tcPr>
            <w:tcW w:w="990" w:type="dxa"/>
          </w:tcPr>
          <w:p w14:paraId="15A497DD" w14:textId="77777777" w:rsidR="00191E1B" w:rsidRPr="00E81280" w:rsidRDefault="00191E1B" w:rsidP="00191E1B">
            <w:pPr>
              <w:spacing w:line="360" w:lineRule="auto"/>
              <w:jc w:val="center"/>
            </w:pPr>
            <w:r w:rsidRPr="00E81280">
              <w:t>6</w:t>
            </w:r>
          </w:p>
        </w:tc>
        <w:tc>
          <w:tcPr>
            <w:tcW w:w="1140" w:type="dxa"/>
          </w:tcPr>
          <w:p w14:paraId="6662BAEC" w14:textId="77777777" w:rsidR="00191E1B" w:rsidRPr="00E81280" w:rsidRDefault="00191E1B" w:rsidP="00191E1B">
            <w:pPr>
              <w:spacing w:line="360" w:lineRule="auto"/>
              <w:jc w:val="center"/>
            </w:pPr>
            <w:r w:rsidRPr="00E81280">
              <w:t>7</w:t>
            </w:r>
          </w:p>
        </w:tc>
      </w:tr>
      <w:tr w:rsidR="00191E1B" w:rsidRPr="00E81280" w14:paraId="1BF0EE0E" w14:textId="77777777" w:rsidTr="00477E8B">
        <w:tc>
          <w:tcPr>
            <w:tcW w:w="4478" w:type="dxa"/>
            <w:gridSpan w:val="3"/>
          </w:tcPr>
          <w:p w14:paraId="31535651" w14:textId="77777777" w:rsidR="00191E1B" w:rsidRPr="00E81280" w:rsidRDefault="00191E1B" w:rsidP="00191E1B">
            <w:pPr>
              <w:spacing w:line="360" w:lineRule="auto"/>
              <w:jc w:val="center"/>
            </w:pPr>
          </w:p>
        </w:tc>
        <w:tc>
          <w:tcPr>
            <w:tcW w:w="900" w:type="dxa"/>
            <w:gridSpan w:val="2"/>
          </w:tcPr>
          <w:p w14:paraId="652329E1" w14:textId="77777777" w:rsidR="00191E1B" w:rsidRPr="00E81280" w:rsidRDefault="00191E1B" w:rsidP="00191E1B">
            <w:pPr>
              <w:spacing w:line="360" w:lineRule="auto"/>
              <w:jc w:val="center"/>
            </w:pPr>
            <w:r w:rsidRPr="00E81280">
              <w:t>201</w:t>
            </w:r>
            <w:r>
              <w:t>8</w:t>
            </w:r>
          </w:p>
        </w:tc>
        <w:tc>
          <w:tcPr>
            <w:tcW w:w="1072" w:type="dxa"/>
          </w:tcPr>
          <w:p w14:paraId="110A8F62" w14:textId="77777777" w:rsidR="00191E1B" w:rsidRPr="00E81280" w:rsidRDefault="00191E1B" w:rsidP="00191E1B">
            <w:pPr>
              <w:spacing w:line="360" w:lineRule="auto"/>
              <w:jc w:val="center"/>
            </w:pPr>
            <w:r>
              <w:t>2019</w:t>
            </w:r>
          </w:p>
        </w:tc>
        <w:tc>
          <w:tcPr>
            <w:tcW w:w="990" w:type="dxa"/>
            <w:gridSpan w:val="2"/>
          </w:tcPr>
          <w:p w14:paraId="5D2B52A1" w14:textId="77777777" w:rsidR="00191E1B" w:rsidRPr="00E81280" w:rsidRDefault="00191E1B" w:rsidP="00191E1B">
            <w:pPr>
              <w:spacing w:line="360" w:lineRule="auto"/>
              <w:jc w:val="center"/>
            </w:pPr>
            <w:r>
              <w:t>2020</w:t>
            </w:r>
          </w:p>
        </w:tc>
        <w:tc>
          <w:tcPr>
            <w:tcW w:w="990" w:type="dxa"/>
          </w:tcPr>
          <w:p w14:paraId="620DD4E2" w14:textId="77777777" w:rsidR="00191E1B" w:rsidRPr="00E81280" w:rsidRDefault="00191E1B" w:rsidP="00191E1B">
            <w:pPr>
              <w:spacing w:line="360" w:lineRule="auto"/>
              <w:jc w:val="center"/>
            </w:pPr>
            <w:r>
              <w:t>2021</w:t>
            </w:r>
          </w:p>
        </w:tc>
        <w:tc>
          <w:tcPr>
            <w:tcW w:w="990" w:type="dxa"/>
          </w:tcPr>
          <w:p w14:paraId="47ACDF9B" w14:textId="77777777" w:rsidR="00191E1B" w:rsidRPr="00E81280" w:rsidRDefault="00191E1B" w:rsidP="00191E1B">
            <w:pPr>
              <w:spacing w:line="360" w:lineRule="auto"/>
              <w:jc w:val="center"/>
            </w:pPr>
            <w:r>
              <w:t>2022</w:t>
            </w:r>
          </w:p>
        </w:tc>
        <w:tc>
          <w:tcPr>
            <w:tcW w:w="1140" w:type="dxa"/>
          </w:tcPr>
          <w:p w14:paraId="4E0B20AA" w14:textId="77777777" w:rsidR="00191E1B" w:rsidRPr="00E81280" w:rsidRDefault="00191E1B" w:rsidP="00191E1B">
            <w:pPr>
              <w:spacing w:line="360" w:lineRule="auto"/>
            </w:pPr>
            <w:r w:rsidRPr="00E81280">
              <w:t>-</w:t>
            </w:r>
          </w:p>
        </w:tc>
      </w:tr>
      <w:tr w:rsidR="00191E1B" w:rsidRPr="00E81280" w14:paraId="36B7155C" w14:textId="77777777" w:rsidTr="00477E8B">
        <w:trPr>
          <w:trHeight w:val="330"/>
        </w:trPr>
        <w:tc>
          <w:tcPr>
            <w:tcW w:w="4478" w:type="dxa"/>
            <w:gridSpan w:val="3"/>
            <w:vMerge w:val="restart"/>
          </w:tcPr>
          <w:p w14:paraId="04E94FD4" w14:textId="77777777" w:rsidR="00191E1B" w:rsidRPr="00E81280" w:rsidRDefault="00191E1B" w:rsidP="00191E1B">
            <w:pPr>
              <w:jc w:val="both"/>
            </w:pPr>
            <w:r w:rsidRPr="00E81280">
              <w:t>Modificări ale veniturilor bugetare, plus/minus, din care:</w:t>
            </w:r>
          </w:p>
          <w:p w14:paraId="05A82919" w14:textId="77777777" w:rsidR="00191E1B" w:rsidRPr="00E81280" w:rsidRDefault="00191E1B" w:rsidP="00191E1B">
            <w:pPr>
              <w:numPr>
                <w:ilvl w:val="0"/>
                <w:numId w:val="2"/>
              </w:numPr>
              <w:jc w:val="both"/>
            </w:pPr>
            <w:r w:rsidRPr="00E81280">
              <w:t>buget de stat, din acesta:</w:t>
            </w:r>
          </w:p>
          <w:p w14:paraId="1F3D5696" w14:textId="77777777" w:rsidR="00191E1B" w:rsidRPr="00E81280" w:rsidRDefault="00191E1B" w:rsidP="00191E1B">
            <w:pPr>
              <w:numPr>
                <w:ilvl w:val="0"/>
                <w:numId w:val="3"/>
              </w:numPr>
              <w:tabs>
                <w:tab w:val="clear" w:pos="1080"/>
                <w:tab w:val="left" w:pos="720"/>
                <w:tab w:val="num" w:pos="900"/>
              </w:tabs>
              <w:ind w:left="360" w:firstLine="0"/>
              <w:jc w:val="both"/>
            </w:pPr>
            <w:r w:rsidRPr="00E81280">
              <w:t>impozit pe profit</w:t>
            </w:r>
          </w:p>
          <w:p w14:paraId="0F2F7C4E" w14:textId="77777777" w:rsidR="00191E1B" w:rsidRPr="00E81280" w:rsidRDefault="00191E1B" w:rsidP="00191E1B">
            <w:pPr>
              <w:numPr>
                <w:ilvl w:val="0"/>
                <w:numId w:val="3"/>
              </w:numPr>
              <w:tabs>
                <w:tab w:val="clear" w:pos="1080"/>
                <w:tab w:val="left" w:pos="720"/>
                <w:tab w:val="num" w:pos="900"/>
              </w:tabs>
              <w:jc w:val="both"/>
            </w:pPr>
            <w:r w:rsidRPr="00E81280">
              <w:t>impozit pe venit</w:t>
            </w:r>
          </w:p>
          <w:p w14:paraId="2BC07E93" w14:textId="77777777" w:rsidR="00191E1B" w:rsidRPr="00E81280" w:rsidRDefault="00191E1B" w:rsidP="00191E1B">
            <w:pPr>
              <w:numPr>
                <w:ilvl w:val="0"/>
                <w:numId w:val="2"/>
              </w:numPr>
              <w:tabs>
                <w:tab w:val="left" w:pos="720"/>
              </w:tabs>
              <w:jc w:val="both"/>
            </w:pPr>
            <w:r w:rsidRPr="00E81280">
              <w:t>bugete locale:</w:t>
            </w:r>
          </w:p>
          <w:p w14:paraId="12C496C3" w14:textId="77777777" w:rsidR="00191E1B" w:rsidRPr="00E81280" w:rsidRDefault="00191E1B" w:rsidP="00191E1B">
            <w:pPr>
              <w:numPr>
                <w:ilvl w:val="0"/>
                <w:numId w:val="4"/>
              </w:numPr>
              <w:tabs>
                <w:tab w:val="clear" w:pos="1080"/>
                <w:tab w:val="left" w:pos="720"/>
                <w:tab w:val="num" w:pos="900"/>
              </w:tabs>
              <w:jc w:val="both"/>
            </w:pPr>
            <w:r w:rsidRPr="00E81280">
              <w:t>impozit pe profit</w:t>
            </w:r>
          </w:p>
          <w:p w14:paraId="1AD863A6" w14:textId="77777777" w:rsidR="00191E1B" w:rsidRPr="00E81280" w:rsidRDefault="00191E1B" w:rsidP="00191E1B">
            <w:pPr>
              <w:numPr>
                <w:ilvl w:val="0"/>
                <w:numId w:val="2"/>
              </w:numPr>
              <w:tabs>
                <w:tab w:val="left" w:pos="720"/>
              </w:tabs>
              <w:jc w:val="both"/>
            </w:pPr>
            <w:r w:rsidRPr="00E81280">
              <w:t>bugetul asigurărilor sociale de stat:</w:t>
            </w:r>
          </w:p>
          <w:p w14:paraId="7A73A29B" w14:textId="77777777" w:rsidR="00191E1B" w:rsidRPr="00E81280" w:rsidRDefault="00191E1B" w:rsidP="00191E1B">
            <w:pPr>
              <w:numPr>
                <w:ilvl w:val="0"/>
                <w:numId w:val="5"/>
              </w:numPr>
              <w:tabs>
                <w:tab w:val="clear" w:pos="1080"/>
                <w:tab w:val="left" w:pos="720"/>
                <w:tab w:val="num" w:pos="900"/>
              </w:tabs>
              <w:jc w:val="both"/>
            </w:pPr>
            <w:r w:rsidRPr="00E81280">
              <w:t>contribuţii de asigurări</w:t>
            </w:r>
          </w:p>
        </w:tc>
        <w:tc>
          <w:tcPr>
            <w:tcW w:w="892" w:type="dxa"/>
          </w:tcPr>
          <w:p w14:paraId="41320334" w14:textId="77777777" w:rsidR="00191E1B" w:rsidRPr="00E81280" w:rsidRDefault="00191E1B" w:rsidP="00191E1B">
            <w:pPr>
              <w:jc w:val="both"/>
            </w:pPr>
          </w:p>
        </w:tc>
        <w:tc>
          <w:tcPr>
            <w:tcW w:w="1080" w:type="dxa"/>
            <w:gridSpan w:val="2"/>
          </w:tcPr>
          <w:p w14:paraId="36B1B523" w14:textId="77777777" w:rsidR="00191E1B" w:rsidRPr="00E81280" w:rsidRDefault="00191E1B" w:rsidP="00191E1B">
            <w:pPr>
              <w:jc w:val="both"/>
            </w:pPr>
          </w:p>
        </w:tc>
        <w:tc>
          <w:tcPr>
            <w:tcW w:w="990" w:type="dxa"/>
            <w:gridSpan w:val="2"/>
          </w:tcPr>
          <w:p w14:paraId="5A7ED1FC" w14:textId="77777777" w:rsidR="00191E1B" w:rsidRPr="00E81280" w:rsidRDefault="00191E1B" w:rsidP="00191E1B">
            <w:pPr>
              <w:jc w:val="both"/>
            </w:pPr>
          </w:p>
        </w:tc>
        <w:tc>
          <w:tcPr>
            <w:tcW w:w="990" w:type="dxa"/>
          </w:tcPr>
          <w:p w14:paraId="4E4A9B52" w14:textId="77777777" w:rsidR="00191E1B" w:rsidRPr="00E81280" w:rsidRDefault="00191E1B" w:rsidP="00191E1B">
            <w:pPr>
              <w:jc w:val="both"/>
            </w:pPr>
          </w:p>
        </w:tc>
        <w:tc>
          <w:tcPr>
            <w:tcW w:w="990" w:type="dxa"/>
          </w:tcPr>
          <w:p w14:paraId="1F356C69" w14:textId="77777777" w:rsidR="00191E1B" w:rsidRPr="00E81280" w:rsidRDefault="00191E1B" w:rsidP="00191E1B">
            <w:pPr>
              <w:jc w:val="both"/>
            </w:pPr>
          </w:p>
        </w:tc>
        <w:tc>
          <w:tcPr>
            <w:tcW w:w="1140" w:type="dxa"/>
          </w:tcPr>
          <w:p w14:paraId="5F8CC6E4" w14:textId="77777777" w:rsidR="00191E1B" w:rsidRPr="00E81280" w:rsidRDefault="00191E1B" w:rsidP="00191E1B">
            <w:pPr>
              <w:jc w:val="both"/>
            </w:pPr>
          </w:p>
        </w:tc>
      </w:tr>
      <w:tr w:rsidR="00191E1B" w:rsidRPr="00E81280" w14:paraId="5650465C" w14:textId="77777777" w:rsidTr="00477E8B">
        <w:trPr>
          <w:trHeight w:val="324"/>
        </w:trPr>
        <w:tc>
          <w:tcPr>
            <w:tcW w:w="4478" w:type="dxa"/>
            <w:gridSpan w:val="3"/>
            <w:vMerge/>
          </w:tcPr>
          <w:p w14:paraId="28BB3FEB" w14:textId="77777777" w:rsidR="00191E1B" w:rsidRPr="00E81280" w:rsidRDefault="00191E1B" w:rsidP="00191E1B">
            <w:pPr>
              <w:jc w:val="both"/>
            </w:pPr>
          </w:p>
        </w:tc>
        <w:tc>
          <w:tcPr>
            <w:tcW w:w="892" w:type="dxa"/>
          </w:tcPr>
          <w:p w14:paraId="328FD784" w14:textId="77777777" w:rsidR="00191E1B" w:rsidRPr="00E81280" w:rsidRDefault="00191E1B" w:rsidP="00191E1B">
            <w:pPr>
              <w:jc w:val="both"/>
            </w:pPr>
          </w:p>
        </w:tc>
        <w:tc>
          <w:tcPr>
            <w:tcW w:w="1080" w:type="dxa"/>
            <w:gridSpan w:val="2"/>
          </w:tcPr>
          <w:p w14:paraId="534B9ED2" w14:textId="77777777" w:rsidR="00191E1B" w:rsidRPr="00E81280" w:rsidRDefault="00191E1B" w:rsidP="00191E1B">
            <w:pPr>
              <w:jc w:val="both"/>
            </w:pPr>
          </w:p>
        </w:tc>
        <w:tc>
          <w:tcPr>
            <w:tcW w:w="990" w:type="dxa"/>
            <w:gridSpan w:val="2"/>
          </w:tcPr>
          <w:p w14:paraId="1718BD27" w14:textId="77777777" w:rsidR="00191E1B" w:rsidRPr="00E81280" w:rsidRDefault="00191E1B" w:rsidP="00191E1B">
            <w:pPr>
              <w:jc w:val="both"/>
            </w:pPr>
          </w:p>
        </w:tc>
        <w:tc>
          <w:tcPr>
            <w:tcW w:w="990" w:type="dxa"/>
          </w:tcPr>
          <w:p w14:paraId="2B1D32FF" w14:textId="77777777" w:rsidR="00191E1B" w:rsidRPr="00E81280" w:rsidRDefault="00191E1B" w:rsidP="00191E1B">
            <w:pPr>
              <w:jc w:val="both"/>
            </w:pPr>
          </w:p>
        </w:tc>
        <w:tc>
          <w:tcPr>
            <w:tcW w:w="990" w:type="dxa"/>
          </w:tcPr>
          <w:p w14:paraId="1A3A3276" w14:textId="77777777" w:rsidR="00191E1B" w:rsidRPr="00E81280" w:rsidRDefault="00191E1B" w:rsidP="00191E1B">
            <w:pPr>
              <w:jc w:val="both"/>
            </w:pPr>
          </w:p>
        </w:tc>
        <w:tc>
          <w:tcPr>
            <w:tcW w:w="1140" w:type="dxa"/>
          </w:tcPr>
          <w:p w14:paraId="45AE99D4" w14:textId="77777777" w:rsidR="00191E1B" w:rsidRPr="00E81280" w:rsidRDefault="00191E1B" w:rsidP="00191E1B">
            <w:pPr>
              <w:jc w:val="both"/>
            </w:pPr>
          </w:p>
        </w:tc>
      </w:tr>
      <w:tr w:rsidR="00191E1B" w:rsidRPr="00E81280" w14:paraId="7000E14A" w14:textId="77777777" w:rsidTr="00477E8B">
        <w:trPr>
          <w:trHeight w:val="324"/>
        </w:trPr>
        <w:tc>
          <w:tcPr>
            <w:tcW w:w="4478" w:type="dxa"/>
            <w:gridSpan w:val="3"/>
            <w:vMerge/>
          </w:tcPr>
          <w:p w14:paraId="60A82A49" w14:textId="77777777" w:rsidR="00191E1B" w:rsidRPr="00E81280" w:rsidRDefault="00191E1B" w:rsidP="00191E1B">
            <w:pPr>
              <w:jc w:val="both"/>
            </w:pPr>
          </w:p>
        </w:tc>
        <w:tc>
          <w:tcPr>
            <w:tcW w:w="892" w:type="dxa"/>
          </w:tcPr>
          <w:p w14:paraId="2E6B1DD1" w14:textId="77777777" w:rsidR="00191E1B" w:rsidRPr="00E81280" w:rsidRDefault="00191E1B" w:rsidP="00191E1B">
            <w:pPr>
              <w:jc w:val="both"/>
            </w:pPr>
          </w:p>
        </w:tc>
        <w:tc>
          <w:tcPr>
            <w:tcW w:w="1080" w:type="dxa"/>
            <w:gridSpan w:val="2"/>
          </w:tcPr>
          <w:p w14:paraId="5E63B8F6" w14:textId="77777777" w:rsidR="00191E1B" w:rsidRPr="00E81280" w:rsidRDefault="00191E1B" w:rsidP="00191E1B">
            <w:pPr>
              <w:jc w:val="both"/>
            </w:pPr>
          </w:p>
        </w:tc>
        <w:tc>
          <w:tcPr>
            <w:tcW w:w="990" w:type="dxa"/>
            <w:gridSpan w:val="2"/>
          </w:tcPr>
          <w:p w14:paraId="32BB8DA2" w14:textId="77777777" w:rsidR="00191E1B" w:rsidRPr="00E81280" w:rsidRDefault="00191E1B" w:rsidP="00191E1B">
            <w:pPr>
              <w:jc w:val="both"/>
            </w:pPr>
          </w:p>
        </w:tc>
        <w:tc>
          <w:tcPr>
            <w:tcW w:w="990" w:type="dxa"/>
          </w:tcPr>
          <w:p w14:paraId="603558A4" w14:textId="77777777" w:rsidR="00191E1B" w:rsidRPr="00E81280" w:rsidRDefault="00191E1B" w:rsidP="00191E1B">
            <w:pPr>
              <w:jc w:val="both"/>
            </w:pPr>
          </w:p>
        </w:tc>
        <w:tc>
          <w:tcPr>
            <w:tcW w:w="990" w:type="dxa"/>
          </w:tcPr>
          <w:p w14:paraId="79966EC8" w14:textId="77777777" w:rsidR="00191E1B" w:rsidRPr="00E81280" w:rsidRDefault="00191E1B" w:rsidP="00191E1B">
            <w:pPr>
              <w:jc w:val="both"/>
            </w:pPr>
          </w:p>
        </w:tc>
        <w:tc>
          <w:tcPr>
            <w:tcW w:w="1140" w:type="dxa"/>
          </w:tcPr>
          <w:p w14:paraId="1B24DB61" w14:textId="77777777" w:rsidR="00191E1B" w:rsidRPr="00E81280" w:rsidRDefault="00191E1B" w:rsidP="00191E1B">
            <w:pPr>
              <w:jc w:val="both"/>
            </w:pPr>
          </w:p>
        </w:tc>
      </w:tr>
      <w:tr w:rsidR="00191E1B" w:rsidRPr="00E81280" w14:paraId="33C24ABF" w14:textId="77777777" w:rsidTr="00477E8B">
        <w:trPr>
          <w:trHeight w:val="324"/>
        </w:trPr>
        <w:tc>
          <w:tcPr>
            <w:tcW w:w="4478" w:type="dxa"/>
            <w:gridSpan w:val="3"/>
            <w:vMerge/>
          </w:tcPr>
          <w:p w14:paraId="6CCFD7E7" w14:textId="77777777" w:rsidR="00191E1B" w:rsidRPr="00E81280" w:rsidRDefault="00191E1B" w:rsidP="00191E1B">
            <w:pPr>
              <w:jc w:val="both"/>
            </w:pPr>
          </w:p>
        </w:tc>
        <w:tc>
          <w:tcPr>
            <w:tcW w:w="892" w:type="dxa"/>
          </w:tcPr>
          <w:p w14:paraId="7C9ABB37" w14:textId="77777777" w:rsidR="00191E1B" w:rsidRPr="00E81280" w:rsidRDefault="00191E1B" w:rsidP="00191E1B">
            <w:pPr>
              <w:jc w:val="both"/>
            </w:pPr>
          </w:p>
        </w:tc>
        <w:tc>
          <w:tcPr>
            <w:tcW w:w="1080" w:type="dxa"/>
            <w:gridSpan w:val="2"/>
          </w:tcPr>
          <w:p w14:paraId="570D2863" w14:textId="77777777" w:rsidR="00191E1B" w:rsidRPr="00E81280" w:rsidRDefault="00191E1B" w:rsidP="00191E1B">
            <w:pPr>
              <w:jc w:val="both"/>
            </w:pPr>
          </w:p>
        </w:tc>
        <w:tc>
          <w:tcPr>
            <w:tcW w:w="990" w:type="dxa"/>
            <w:gridSpan w:val="2"/>
          </w:tcPr>
          <w:p w14:paraId="2ED33E19" w14:textId="77777777" w:rsidR="00191E1B" w:rsidRPr="00E81280" w:rsidRDefault="00191E1B" w:rsidP="00191E1B">
            <w:pPr>
              <w:jc w:val="both"/>
            </w:pPr>
          </w:p>
        </w:tc>
        <w:tc>
          <w:tcPr>
            <w:tcW w:w="990" w:type="dxa"/>
          </w:tcPr>
          <w:p w14:paraId="790220A4" w14:textId="77777777" w:rsidR="00191E1B" w:rsidRPr="00E81280" w:rsidRDefault="00191E1B" w:rsidP="00191E1B">
            <w:pPr>
              <w:jc w:val="both"/>
            </w:pPr>
          </w:p>
        </w:tc>
        <w:tc>
          <w:tcPr>
            <w:tcW w:w="990" w:type="dxa"/>
          </w:tcPr>
          <w:p w14:paraId="61AB326E" w14:textId="77777777" w:rsidR="00191E1B" w:rsidRPr="00E81280" w:rsidRDefault="00191E1B" w:rsidP="00191E1B">
            <w:pPr>
              <w:jc w:val="both"/>
            </w:pPr>
          </w:p>
        </w:tc>
        <w:tc>
          <w:tcPr>
            <w:tcW w:w="1140" w:type="dxa"/>
          </w:tcPr>
          <w:p w14:paraId="7FBA93BA" w14:textId="77777777" w:rsidR="00191E1B" w:rsidRPr="00E81280" w:rsidRDefault="00191E1B" w:rsidP="00191E1B">
            <w:pPr>
              <w:jc w:val="both"/>
            </w:pPr>
          </w:p>
        </w:tc>
      </w:tr>
      <w:tr w:rsidR="00191E1B" w:rsidRPr="00E81280" w14:paraId="0701EA3D" w14:textId="77777777" w:rsidTr="00477E8B">
        <w:trPr>
          <w:trHeight w:val="324"/>
        </w:trPr>
        <w:tc>
          <w:tcPr>
            <w:tcW w:w="4478" w:type="dxa"/>
            <w:gridSpan w:val="3"/>
            <w:vMerge/>
          </w:tcPr>
          <w:p w14:paraId="3FBA44BF" w14:textId="77777777" w:rsidR="00191E1B" w:rsidRPr="00E81280" w:rsidRDefault="00191E1B" w:rsidP="00191E1B">
            <w:pPr>
              <w:jc w:val="both"/>
            </w:pPr>
          </w:p>
        </w:tc>
        <w:tc>
          <w:tcPr>
            <w:tcW w:w="892" w:type="dxa"/>
          </w:tcPr>
          <w:p w14:paraId="67EC388A" w14:textId="77777777" w:rsidR="00191E1B" w:rsidRPr="00E81280" w:rsidRDefault="00191E1B" w:rsidP="00191E1B">
            <w:pPr>
              <w:jc w:val="both"/>
            </w:pPr>
          </w:p>
        </w:tc>
        <w:tc>
          <w:tcPr>
            <w:tcW w:w="1080" w:type="dxa"/>
            <w:gridSpan w:val="2"/>
          </w:tcPr>
          <w:p w14:paraId="6C41E836" w14:textId="77777777" w:rsidR="00191E1B" w:rsidRPr="00E81280" w:rsidRDefault="00191E1B" w:rsidP="00191E1B">
            <w:pPr>
              <w:jc w:val="both"/>
            </w:pPr>
          </w:p>
        </w:tc>
        <w:tc>
          <w:tcPr>
            <w:tcW w:w="990" w:type="dxa"/>
            <w:gridSpan w:val="2"/>
          </w:tcPr>
          <w:p w14:paraId="377656E7" w14:textId="77777777" w:rsidR="00191E1B" w:rsidRPr="00E81280" w:rsidRDefault="00191E1B" w:rsidP="00191E1B">
            <w:pPr>
              <w:jc w:val="both"/>
            </w:pPr>
          </w:p>
        </w:tc>
        <w:tc>
          <w:tcPr>
            <w:tcW w:w="990" w:type="dxa"/>
          </w:tcPr>
          <w:p w14:paraId="51F0BC5A" w14:textId="77777777" w:rsidR="00191E1B" w:rsidRPr="00E81280" w:rsidRDefault="00191E1B" w:rsidP="00191E1B">
            <w:pPr>
              <w:jc w:val="both"/>
            </w:pPr>
          </w:p>
        </w:tc>
        <w:tc>
          <w:tcPr>
            <w:tcW w:w="990" w:type="dxa"/>
          </w:tcPr>
          <w:p w14:paraId="1B7699C5" w14:textId="77777777" w:rsidR="00191E1B" w:rsidRPr="00E81280" w:rsidRDefault="00191E1B" w:rsidP="00191E1B">
            <w:pPr>
              <w:jc w:val="both"/>
            </w:pPr>
          </w:p>
        </w:tc>
        <w:tc>
          <w:tcPr>
            <w:tcW w:w="1140" w:type="dxa"/>
          </w:tcPr>
          <w:p w14:paraId="2FF5E293" w14:textId="77777777" w:rsidR="00191E1B" w:rsidRPr="00E81280" w:rsidRDefault="00191E1B" w:rsidP="00191E1B">
            <w:pPr>
              <w:jc w:val="both"/>
            </w:pPr>
          </w:p>
        </w:tc>
      </w:tr>
      <w:tr w:rsidR="00191E1B" w:rsidRPr="00E81280" w14:paraId="5340D81F" w14:textId="77777777" w:rsidTr="00477E8B">
        <w:trPr>
          <w:trHeight w:val="324"/>
        </w:trPr>
        <w:tc>
          <w:tcPr>
            <w:tcW w:w="4478" w:type="dxa"/>
            <w:gridSpan w:val="3"/>
            <w:vMerge/>
          </w:tcPr>
          <w:p w14:paraId="6F83C88D" w14:textId="77777777" w:rsidR="00191E1B" w:rsidRPr="00E81280" w:rsidRDefault="00191E1B" w:rsidP="00191E1B">
            <w:pPr>
              <w:jc w:val="both"/>
            </w:pPr>
          </w:p>
        </w:tc>
        <w:tc>
          <w:tcPr>
            <w:tcW w:w="892" w:type="dxa"/>
          </w:tcPr>
          <w:p w14:paraId="2DB1B160" w14:textId="77777777" w:rsidR="00191E1B" w:rsidRPr="00E81280" w:rsidRDefault="00191E1B" w:rsidP="00191E1B">
            <w:pPr>
              <w:jc w:val="both"/>
            </w:pPr>
          </w:p>
        </w:tc>
        <w:tc>
          <w:tcPr>
            <w:tcW w:w="1080" w:type="dxa"/>
            <w:gridSpan w:val="2"/>
          </w:tcPr>
          <w:p w14:paraId="14EE75F0" w14:textId="77777777" w:rsidR="00191E1B" w:rsidRPr="00E81280" w:rsidRDefault="00191E1B" w:rsidP="00191E1B">
            <w:pPr>
              <w:jc w:val="both"/>
            </w:pPr>
          </w:p>
        </w:tc>
        <w:tc>
          <w:tcPr>
            <w:tcW w:w="990" w:type="dxa"/>
            <w:gridSpan w:val="2"/>
          </w:tcPr>
          <w:p w14:paraId="1B2F254C" w14:textId="77777777" w:rsidR="00191E1B" w:rsidRPr="00E81280" w:rsidRDefault="00191E1B" w:rsidP="00191E1B">
            <w:pPr>
              <w:jc w:val="both"/>
            </w:pPr>
          </w:p>
        </w:tc>
        <w:tc>
          <w:tcPr>
            <w:tcW w:w="990" w:type="dxa"/>
          </w:tcPr>
          <w:p w14:paraId="7AB6956B" w14:textId="77777777" w:rsidR="00191E1B" w:rsidRPr="00E81280" w:rsidRDefault="00191E1B" w:rsidP="00191E1B">
            <w:pPr>
              <w:jc w:val="both"/>
            </w:pPr>
          </w:p>
        </w:tc>
        <w:tc>
          <w:tcPr>
            <w:tcW w:w="990" w:type="dxa"/>
          </w:tcPr>
          <w:p w14:paraId="498F2EA5" w14:textId="77777777" w:rsidR="00191E1B" w:rsidRPr="00E81280" w:rsidRDefault="00191E1B" w:rsidP="00191E1B">
            <w:pPr>
              <w:jc w:val="both"/>
            </w:pPr>
          </w:p>
        </w:tc>
        <w:tc>
          <w:tcPr>
            <w:tcW w:w="1140" w:type="dxa"/>
          </w:tcPr>
          <w:p w14:paraId="14FD44B0" w14:textId="77777777" w:rsidR="00191E1B" w:rsidRPr="00E81280" w:rsidRDefault="00191E1B" w:rsidP="00191E1B">
            <w:pPr>
              <w:jc w:val="both"/>
            </w:pPr>
          </w:p>
        </w:tc>
      </w:tr>
      <w:tr w:rsidR="00191E1B" w:rsidRPr="00E81280" w14:paraId="5D29DE85" w14:textId="77777777" w:rsidTr="00477E8B">
        <w:trPr>
          <w:trHeight w:val="324"/>
        </w:trPr>
        <w:tc>
          <w:tcPr>
            <w:tcW w:w="4478" w:type="dxa"/>
            <w:gridSpan w:val="3"/>
            <w:vMerge/>
          </w:tcPr>
          <w:p w14:paraId="79B00256" w14:textId="77777777" w:rsidR="00191E1B" w:rsidRPr="00E81280" w:rsidRDefault="00191E1B" w:rsidP="00191E1B">
            <w:pPr>
              <w:jc w:val="both"/>
            </w:pPr>
          </w:p>
        </w:tc>
        <w:tc>
          <w:tcPr>
            <w:tcW w:w="892" w:type="dxa"/>
          </w:tcPr>
          <w:p w14:paraId="70569EB7" w14:textId="77777777" w:rsidR="00191E1B" w:rsidRPr="00E81280" w:rsidRDefault="00191E1B" w:rsidP="00191E1B">
            <w:pPr>
              <w:jc w:val="both"/>
            </w:pPr>
          </w:p>
        </w:tc>
        <w:tc>
          <w:tcPr>
            <w:tcW w:w="1080" w:type="dxa"/>
            <w:gridSpan w:val="2"/>
          </w:tcPr>
          <w:p w14:paraId="4613CDE3" w14:textId="77777777" w:rsidR="00191E1B" w:rsidRPr="00E81280" w:rsidRDefault="00191E1B" w:rsidP="00191E1B">
            <w:pPr>
              <w:jc w:val="both"/>
            </w:pPr>
          </w:p>
        </w:tc>
        <w:tc>
          <w:tcPr>
            <w:tcW w:w="990" w:type="dxa"/>
            <w:gridSpan w:val="2"/>
          </w:tcPr>
          <w:p w14:paraId="00CE5D9A" w14:textId="77777777" w:rsidR="00191E1B" w:rsidRPr="00E81280" w:rsidRDefault="00191E1B" w:rsidP="00191E1B">
            <w:pPr>
              <w:jc w:val="both"/>
            </w:pPr>
          </w:p>
        </w:tc>
        <w:tc>
          <w:tcPr>
            <w:tcW w:w="990" w:type="dxa"/>
          </w:tcPr>
          <w:p w14:paraId="07E99226" w14:textId="77777777" w:rsidR="00191E1B" w:rsidRPr="00E81280" w:rsidRDefault="00191E1B" w:rsidP="00191E1B">
            <w:pPr>
              <w:jc w:val="both"/>
            </w:pPr>
          </w:p>
        </w:tc>
        <w:tc>
          <w:tcPr>
            <w:tcW w:w="990" w:type="dxa"/>
          </w:tcPr>
          <w:p w14:paraId="26986DEF" w14:textId="77777777" w:rsidR="00191E1B" w:rsidRPr="00E81280" w:rsidRDefault="00191E1B" w:rsidP="00191E1B">
            <w:pPr>
              <w:jc w:val="both"/>
            </w:pPr>
          </w:p>
        </w:tc>
        <w:tc>
          <w:tcPr>
            <w:tcW w:w="1140" w:type="dxa"/>
          </w:tcPr>
          <w:p w14:paraId="40BE3CA8" w14:textId="77777777" w:rsidR="00191E1B" w:rsidRPr="00E81280" w:rsidRDefault="00191E1B" w:rsidP="00191E1B">
            <w:pPr>
              <w:jc w:val="both"/>
            </w:pPr>
          </w:p>
        </w:tc>
      </w:tr>
      <w:tr w:rsidR="00191E1B" w:rsidRPr="00E81280" w14:paraId="51C0F6B2" w14:textId="77777777" w:rsidTr="00477E8B">
        <w:trPr>
          <w:trHeight w:val="324"/>
        </w:trPr>
        <w:tc>
          <w:tcPr>
            <w:tcW w:w="4478" w:type="dxa"/>
            <w:gridSpan w:val="3"/>
            <w:vMerge/>
          </w:tcPr>
          <w:p w14:paraId="2A4A829D" w14:textId="77777777" w:rsidR="00191E1B" w:rsidRPr="00E81280" w:rsidRDefault="00191E1B" w:rsidP="00191E1B">
            <w:pPr>
              <w:jc w:val="both"/>
            </w:pPr>
          </w:p>
        </w:tc>
        <w:tc>
          <w:tcPr>
            <w:tcW w:w="892" w:type="dxa"/>
          </w:tcPr>
          <w:p w14:paraId="078182E7" w14:textId="77777777" w:rsidR="00191E1B" w:rsidRPr="00E81280" w:rsidRDefault="00191E1B" w:rsidP="00191E1B">
            <w:pPr>
              <w:jc w:val="both"/>
            </w:pPr>
          </w:p>
        </w:tc>
        <w:tc>
          <w:tcPr>
            <w:tcW w:w="1080" w:type="dxa"/>
            <w:gridSpan w:val="2"/>
          </w:tcPr>
          <w:p w14:paraId="0E877E6F" w14:textId="77777777" w:rsidR="00191E1B" w:rsidRPr="00E81280" w:rsidRDefault="00191E1B" w:rsidP="00191E1B">
            <w:pPr>
              <w:jc w:val="both"/>
            </w:pPr>
          </w:p>
        </w:tc>
        <w:tc>
          <w:tcPr>
            <w:tcW w:w="990" w:type="dxa"/>
            <w:gridSpan w:val="2"/>
          </w:tcPr>
          <w:p w14:paraId="7F0A29BC" w14:textId="77777777" w:rsidR="00191E1B" w:rsidRPr="00E81280" w:rsidRDefault="00191E1B" w:rsidP="00191E1B">
            <w:pPr>
              <w:jc w:val="both"/>
            </w:pPr>
          </w:p>
        </w:tc>
        <w:tc>
          <w:tcPr>
            <w:tcW w:w="990" w:type="dxa"/>
          </w:tcPr>
          <w:p w14:paraId="43F00117" w14:textId="77777777" w:rsidR="00191E1B" w:rsidRPr="00E81280" w:rsidRDefault="00191E1B" w:rsidP="00191E1B">
            <w:pPr>
              <w:jc w:val="both"/>
            </w:pPr>
          </w:p>
        </w:tc>
        <w:tc>
          <w:tcPr>
            <w:tcW w:w="990" w:type="dxa"/>
          </w:tcPr>
          <w:p w14:paraId="6966A97E" w14:textId="77777777" w:rsidR="00191E1B" w:rsidRPr="00E81280" w:rsidRDefault="00191E1B" w:rsidP="00191E1B">
            <w:pPr>
              <w:jc w:val="both"/>
            </w:pPr>
          </w:p>
        </w:tc>
        <w:tc>
          <w:tcPr>
            <w:tcW w:w="1140" w:type="dxa"/>
          </w:tcPr>
          <w:p w14:paraId="22813452" w14:textId="77777777" w:rsidR="00191E1B" w:rsidRPr="00E81280" w:rsidRDefault="00191E1B" w:rsidP="00191E1B">
            <w:pPr>
              <w:jc w:val="both"/>
            </w:pPr>
          </w:p>
        </w:tc>
      </w:tr>
      <w:tr w:rsidR="00191E1B" w:rsidRPr="00E81280" w14:paraId="00B940A7" w14:textId="77777777" w:rsidTr="00477E8B">
        <w:trPr>
          <w:trHeight w:val="451"/>
        </w:trPr>
        <w:tc>
          <w:tcPr>
            <w:tcW w:w="4478" w:type="dxa"/>
            <w:gridSpan w:val="3"/>
            <w:vMerge w:val="restart"/>
          </w:tcPr>
          <w:p w14:paraId="72C4DA63" w14:textId="77777777" w:rsidR="00191E1B" w:rsidRPr="00E81280" w:rsidRDefault="00191E1B" w:rsidP="00191E1B">
            <w:pPr>
              <w:autoSpaceDE w:val="0"/>
              <w:autoSpaceDN w:val="0"/>
              <w:adjustRightInd w:val="0"/>
            </w:pPr>
            <w:r w:rsidRPr="00E81280">
              <w:t>2. Modificări ale cheltuielilor bugetare plus/minus, din care:</w:t>
            </w:r>
          </w:p>
          <w:p w14:paraId="04FAEC00" w14:textId="77777777" w:rsidR="00191E1B" w:rsidRPr="00E81280" w:rsidRDefault="00191E1B" w:rsidP="00191E1B">
            <w:pPr>
              <w:numPr>
                <w:ilvl w:val="0"/>
                <w:numId w:val="6"/>
              </w:numPr>
              <w:jc w:val="both"/>
            </w:pPr>
            <w:r w:rsidRPr="00E81280">
              <w:t>buget de stat</w:t>
            </w:r>
          </w:p>
          <w:p w14:paraId="293C5BFF" w14:textId="77777777" w:rsidR="00191E1B" w:rsidRPr="00E81280" w:rsidRDefault="00191E1B" w:rsidP="00191E1B">
            <w:pPr>
              <w:numPr>
                <w:ilvl w:val="1"/>
                <w:numId w:val="7"/>
              </w:numPr>
              <w:tabs>
                <w:tab w:val="clear" w:pos="1800"/>
                <w:tab w:val="num" w:pos="0"/>
              </w:tabs>
              <w:autoSpaceDE w:val="0"/>
              <w:autoSpaceDN w:val="0"/>
              <w:adjustRightInd w:val="0"/>
              <w:ind w:left="360"/>
            </w:pPr>
            <w:r w:rsidRPr="00E81280">
              <w:t>credit extern</w:t>
            </w:r>
          </w:p>
          <w:p w14:paraId="0BA20E9F" w14:textId="77777777" w:rsidR="00191E1B" w:rsidRPr="00E81280" w:rsidRDefault="00191E1B" w:rsidP="00191E1B">
            <w:pPr>
              <w:numPr>
                <w:ilvl w:val="1"/>
                <w:numId w:val="8"/>
              </w:numPr>
              <w:tabs>
                <w:tab w:val="clear" w:pos="1800"/>
                <w:tab w:val="num" w:pos="0"/>
              </w:tabs>
              <w:autoSpaceDE w:val="0"/>
              <w:autoSpaceDN w:val="0"/>
              <w:adjustRightInd w:val="0"/>
              <w:ind w:left="360"/>
            </w:pPr>
            <w:r w:rsidRPr="00E81280">
              <w:t>surse proprii</w:t>
            </w:r>
          </w:p>
        </w:tc>
        <w:tc>
          <w:tcPr>
            <w:tcW w:w="892" w:type="dxa"/>
          </w:tcPr>
          <w:p w14:paraId="63179A17" w14:textId="77777777" w:rsidR="00191E1B" w:rsidRPr="00E81280" w:rsidRDefault="00191E1B" w:rsidP="00191E1B">
            <w:pPr>
              <w:spacing w:line="360" w:lineRule="auto"/>
              <w:jc w:val="both"/>
            </w:pPr>
            <w:r w:rsidRPr="00E81280">
              <w:t>-</w:t>
            </w:r>
          </w:p>
        </w:tc>
        <w:tc>
          <w:tcPr>
            <w:tcW w:w="1080" w:type="dxa"/>
            <w:gridSpan w:val="2"/>
          </w:tcPr>
          <w:p w14:paraId="1B7F4444" w14:textId="77777777" w:rsidR="00191E1B" w:rsidRPr="00E81280" w:rsidRDefault="00191E1B" w:rsidP="00191E1B">
            <w:pPr>
              <w:spacing w:line="360" w:lineRule="auto"/>
              <w:jc w:val="both"/>
            </w:pPr>
            <w:r w:rsidRPr="00E81280">
              <w:t xml:space="preserve">- </w:t>
            </w:r>
          </w:p>
        </w:tc>
        <w:tc>
          <w:tcPr>
            <w:tcW w:w="990" w:type="dxa"/>
            <w:gridSpan w:val="2"/>
          </w:tcPr>
          <w:p w14:paraId="7C6AAB5B" w14:textId="77777777" w:rsidR="00191E1B" w:rsidRPr="00E81280" w:rsidRDefault="00191E1B" w:rsidP="00191E1B">
            <w:pPr>
              <w:spacing w:line="360" w:lineRule="auto"/>
              <w:jc w:val="both"/>
            </w:pPr>
            <w:r w:rsidRPr="00E81280">
              <w:t>-</w:t>
            </w:r>
          </w:p>
        </w:tc>
        <w:tc>
          <w:tcPr>
            <w:tcW w:w="990" w:type="dxa"/>
          </w:tcPr>
          <w:p w14:paraId="233CCD47" w14:textId="77777777" w:rsidR="00191E1B" w:rsidRPr="00E81280" w:rsidRDefault="00191E1B" w:rsidP="00191E1B">
            <w:pPr>
              <w:spacing w:line="360" w:lineRule="auto"/>
              <w:jc w:val="both"/>
            </w:pPr>
            <w:r w:rsidRPr="00E81280">
              <w:t>-</w:t>
            </w:r>
          </w:p>
        </w:tc>
        <w:tc>
          <w:tcPr>
            <w:tcW w:w="990" w:type="dxa"/>
          </w:tcPr>
          <w:p w14:paraId="6E9BE326" w14:textId="77777777" w:rsidR="00191E1B" w:rsidRPr="00E81280" w:rsidRDefault="00191E1B" w:rsidP="00191E1B">
            <w:pPr>
              <w:spacing w:line="360" w:lineRule="auto"/>
              <w:jc w:val="both"/>
            </w:pPr>
            <w:r w:rsidRPr="00E81280">
              <w:t>-</w:t>
            </w:r>
          </w:p>
        </w:tc>
        <w:tc>
          <w:tcPr>
            <w:tcW w:w="1140" w:type="dxa"/>
          </w:tcPr>
          <w:p w14:paraId="6D661825" w14:textId="77777777" w:rsidR="00191E1B" w:rsidRPr="00E81280" w:rsidRDefault="00191E1B" w:rsidP="00191E1B">
            <w:pPr>
              <w:spacing w:line="360" w:lineRule="auto"/>
              <w:jc w:val="both"/>
            </w:pPr>
            <w:r w:rsidRPr="00E81280">
              <w:t xml:space="preserve">      -</w:t>
            </w:r>
          </w:p>
        </w:tc>
      </w:tr>
      <w:tr w:rsidR="00191E1B" w:rsidRPr="00E81280" w14:paraId="663B02FB" w14:textId="77777777" w:rsidTr="00477E8B">
        <w:trPr>
          <w:trHeight w:val="348"/>
        </w:trPr>
        <w:tc>
          <w:tcPr>
            <w:tcW w:w="4478" w:type="dxa"/>
            <w:gridSpan w:val="3"/>
            <w:vMerge/>
          </w:tcPr>
          <w:p w14:paraId="5DF1E7DC" w14:textId="77777777" w:rsidR="00191E1B" w:rsidRPr="00E81280" w:rsidRDefault="00191E1B" w:rsidP="00191E1B">
            <w:pPr>
              <w:autoSpaceDE w:val="0"/>
              <w:autoSpaceDN w:val="0"/>
              <w:adjustRightInd w:val="0"/>
            </w:pPr>
          </w:p>
        </w:tc>
        <w:tc>
          <w:tcPr>
            <w:tcW w:w="892" w:type="dxa"/>
          </w:tcPr>
          <w:p w14:paraId="2458CEAC" w14:textId="77777777" w:rsidR="00191E1B" w:rsidRPr="00E81280" w:rsidRDefault="00191E1B" w:rsidP="00191E1B">
            <w:pPr>
              <w:spacing w:line="360" w:lineRule="auto"/>
              <w:jc w:val="both"/>
            </w:pPr>
            <w:r w:rsidRPr="00E81280">
              <w:t>-</w:t>
            </w:r>
          </w:p>
        </w:tc>
        <w:tc>
          <w:tcPr>
            <w:tcW w:w="1080" w:type="dxa"/>
            <w:gridSpan w:val="2"/>
          </w:tcPr>
          <w:p w14:paraId="7DFD6310" w14:textId="77777777" w:rsidR="00191E1B" w:rsidRPr="00E81280" w:rsidRDefault="00191E1B" w:rsidP="00191E1B">
            <w:pPr>
              <w:spacing w:line="360" w:lineRule="auto"/>
              <w:jc w:val="both"/>
            </w:pPr>
            <w:r w:rsidRPr="00E81280">
              <w:t>-</w:t>
            </w:r>
          </w:p>
        </w:tc>
        <w:tc>
          <w:tcPr>
            <w:tcW w:w="990" w:type="dxa"/>
            <w:gridSpan w:val="2"/>
          </w:tcPr>
          <w:p w14:paraId="7CCE610F" w14:textId="77777777" w:rsidR="00191E1B" w:rsidRPr="00E81280" w:rsidRDefault="00191E1B" w:rsidP="00191E1B">
            <w:pPr>
              <w:spacing w:line="360" w:lineRule="auto"/>
              <w:jc w:val="both"/>
            </w:pPr>
            <w:r w:rsidRPr="00E81280">
              <w:t>-</w:t>
            </w:r>
          </w:p>
        </w:tc>
        <w:tc>
          <w:tcPr>
            <w:tcW w:w="990" w:type="dxa"/>
          </w:tcPr>
          <w:p w14:paraId="146E6D38" w14:textId="77777777" w:rsidR="00191E1B" w:rsidRPr="00E81280" w:rsidRDefault="00191E1B" w:rsidP="00191E1B">
            <w:pPr>
              <w:spacing w:line="360" w:lineRule="auto"/>
              <w:jc w:val="both"/>
            </w:pPr>
            <w:r w:rsidRPr="00E81280">
              <w:t>-</w:t>
            </w:r>
          </w:p>
        </w:tc>
        <w:tc>
          <w:tcPr>
            <w:tcW w:w="990" w:type="dxa"/>
          </w:tcPr>
          <w:p w14:paraId="6B60BF0E" w14:textId="77777777" w:rsidR="00191E1B" w:rsidRPr="00E81280" w:rsidRDefault="00191E1B" w:rsidP="00191E1B">
            <w:pPr>
              <w:spacing w:line="360" w:lineRule="auto"/>
              <w:jc w:val="both"/>
            </w:pPr>
            <w:r w:rsidRPr="00E81280">
              <w:t>-</w:t>
            </w:r>
          </w:p>
        </w:tc>
        <w:tc>
          <w:tcPr>
            <w:tcW w:w="1140" w:type="dxa"/>
          </w:tcPr>
          <w:p w14:paraId="798E6163" w14:textId="77777777" w:rsidR="00191E1B" w:rsidRPr="00E81280" w:rsidRDefault="00191E1B" w:rsidP="00191E1B">
            <w:pPr>
              <w:spacing w:line="360" w:lineRule="auto"/>
              <w:jc w:val="both"/>
            </w:pPr>
            <w:r w:rsidRPr="00E81280">
              <w:t>-</w:t>
            </w:r>
          </w:p>
        </w:tc>
      </w:tr>
      <w:tr w:rsidR="00191E1B" w:rsidRPr="00E81280" w14:paraId="266BEAB8" w14:textId="77777777" w:rsidTr="00477E8B">
        <w:trPr>
          <w:trHeight w:val="292"/>
        </w:trPr>
        <w:tc>
          <w:tcPr>
            <w:tcW w:w="4478" w:type="dxa"/>
            <w:gridSpan w:val="3"/>
            <w:vMerge/>
          </w:tcPr>
          <w:p w14:paraId="00EE464E" w14:textId="77777777" w:rsidR="00191E1B" w:rsidRPr="00E81280" w:rsidRDefault="00191E1B" w:rsidP="00191E1B">
            <w:pPr>
              <w:autoSpaceDE w:val="0"/>
              <w:autoSpaceDN w:val="0"/>
              <w:adjustRightInd w:val="0"/>
            </w:pPr>
          </w:p>
        </w:tc>
        <w:tc>
          <w:tcPr>
            <w:tcW w:w="892" w:type="dxa"/>
          </w:tcPr>
          <w:p w14:paraId="500BE01F" w14:textId="77777777" w:rsidR="00191E1B" w:rsidRPr="00E81280" w:rsidRDefault="00191E1B" w:rsidP="00191E1B">
            <w:pPr>
              <w:jc w:val="both"/>
            </w:pPr>
            <w:r w:rsidRPr="00E81280">
              <w:t>-</w:t>
            </w:r>
          </w:p>
        </w:tc>
        <w:tc>
          <w:tcPr>
            <w:tcW w:w="1080" w:type="dxa"/>
            <w:gridSpan w:val="2"/>
          </w:tcPr>
          <w:p w14:paraId="72A1F188" w14:textId="77777777" w:rsidR="00191E1B" w:rsidRPr="00E81280" w:rsidRDefault="00191E1B" w:rsidP="00191E1B">
            <w:pPr>
              <w:spacing w:line="360" w:lineRule="auto"/>
              <w:jc w:val="both"/>
            </w:pPr>
            <w:r w:rsidRPr="00E81280">
              <w:t>-</w:t>
            </w:r>
          </w:p>
        </w:tc>
        <w:tc>
          <w:tcPr>
            <w:tcW w:w="990" w:type="dxa"/>
            <w:gridSpan w:val="2"/>
          </w:tcPr>
          <w:p w14:paraId="49BBE5C4" w14:textId="77777777" w:rsidR="00191E1B" w:rsidRPr="00E81280" w:rsidRDefault="00191E1B" w:rsidP="00191E1B">
            <w:pPr>
              <w:spacing w:line="360" w:lineRule="auto"/>
              <w:jc w:val="both"/>
            </w:pPr>
            <w:r w:rsidRPr="00E81280">
              <w:t>-</w:t>
            </w:r>
          </w:p>
        </w:tc>
        <w:tc>
          <w:tcPr>
            <w:tcW w:w="990" w:type="dxa"/>
          </w:tcPr>
          <w:p w14:paraId="486A77AE" w14:textId="77777777" w:rsidR="00191E1B" w:rsidRPr="00E81280" w:rsidRDefault="00191E1B" w:rsidP="00191E1B">
            <w:pPr>
              <w:spacing w:line="360" w:lineRule="auto"/>
              <w:jc w:val="both"/>
            </w:pPr>
            <w:r w:rsidRPr="00E81280">
              <w:t>-</w:t>
            </w:r>
          </w:p>
        </w:tc>
        <w:tc>
          <w:tcPr>
            <w:tcW w:w="990" w:type="dxa"/>
          </w:tcPr>
          <w:p w14:paraId="377E2222" w14:textId="77777777" w:rsidR="00191E1B" w:rsidRPr="00E81280" w:rsidRDefault="00191E1B" w:rsidP="00191E1B">
            <w:pPr>
              <w:spacing w:line="360" w:lineRule="auto"/>
              <w:jc w:val="both"/>
            </w:pPr>
            <w:r w:rsidRPr="00E81280">
              <w:t>-</w:t>
            </w:r>
          </w:p>
        </w:tc>
        <w:tc>
          <w:tcPr>
            <w:tcW w:w="1140" w:type="dxa"/>
          </w:tcPr>
          <w:p w14:paraId="7CF0369C" w14:textId="77777777" w:rsidR="00191E1B" w:rsidRPr="00E81280" w:rsidRDefault="00191E1B" w:rsidP="00191E1B">
            <w:pPr>
              <w:spacing w:line="360" w:lineRule="auto"/>
              <w:jc w:val="both"/>
            </w:pPr>
            <w:r w:rsidRPr="00E81280">
              <w:t>-</w:t>
            </w:r>
          </w:p>
        </w:tc>
      </w:tr>
      <w:tr w:rsidR="00191E1B" w:rsidRPr="00E81280" w14:paraId="026B2944" w14:textId="77777777" w:rsidTr="00477E8B">
        <w:trPr>
          <w:trHeight w:val="285"/>
        </w:trPr>
        <w:tc>
          <w:tcPr>
            <w:tcW w:w="4478" w:type="dxa"/>
            <w:gridSpan w:val="3"/>
            <w:vMerge w:val="restart"/>
          </w:tcPr>
          <w:p w14:paraId="15186BFD" w14:textId="77777777" w:rsidR="00191E1B" w:rsidRPr="00E81280" w:rsidRDefault="00191E1B" w:rsidP="00191E1B">
            <w:pPr>
              <w:autoSpaceDE w:val="0"/>
              <w:autoSpaceDN w:val="0"/>
              <w:adjustRightInd w:val="0"/>
              <w:jc w:val="both"/>
            </w:pPr>
            <w:r w:rsidRPr="00E81280">
              <w:t>3. Impact financiar, plus/minus, din care:</w:t>
            </w:r>
          </w:p>
          <w:p w14:paraId="64F385E6" w14:textId="77777777" w:rsidR="00191E1B" w:rsidRPr="00E81280" w:rsidRDefault="00191E1B" w:rsidP="00191E1B">
            <w:pPr>
              <w:numPr>
                <w:ilvl w:val="0"/>
                <w:numId w:val="9"/>
              </w:numPr>
              <w:autoSpaceDE w:val="0"/>
              <w:autoSpaceDN w:val="0"/>
              <w:adjustRightInd w:val="0"/>
              <w:jc w:val="both"/>
            </w:pPr>
            <w:r w:rsidRPr="00E81280">
              <w:t>buget de stat</w:t>
            </w:r>
          </w:p>
          <w:p w14:paraId="6D64C336" w14:textId="77777777" w:rsidR="00191E1B" w:rsidRPr="00E81280" w:rsidRDefault="00191E1B" w:rsidP="00191E1B">
            <w:pPr>
              <w:numPr>
                <w:ilvl w:val="0"/>
                <w:numId w:val="9"/>
              </w:numPr>
              <w:autoSpaceDE w:val="0"/>
              <w:autoSpaceDN w:val="0"/>
              <w:adjustRightInd w:val="0"/>
              <w:jc w:val="both"/>
            </w:pPr>
            <w:r w:rsidRPr="00E81280">
              <w:t>bugete locale</w:t>
            </w:r>
          </w:p>
        </w:tc>
        <w:tc>
          <w:tcPr>
            <w:tcW w:w="892" w:type="dxa"/>
          </w:tcPr>
          <w:p w14:paraId="4DA1D5B8" w14:textId="77777777" w:rsidR="00191E1B" w:rsidRPr="00E81280" w:rsidRDefault="00191E1B" w:rsidP="00191E1B">
            <w:pPr>
              <w:ind w:left="-108"/>
              <w:jc w:val="both"/>
            </w:pPr>
            <w:r w:rsidRPr="00E81280">
              <w:t xml:space="preserve">  -</w:t>
            </w:r>
          </w:p>
          <w:p w14:paraId="5490CB49" w14:textId="77777777" w:rsidR="00191E1B" w:rsidRPr="00E81280" w:rsidDel="005D215F" w:rsidRDefault="00191E1B" w:rsidP="00191E1B">
            <w:pPr>
              <w:jc w:val="both"/>
            </w:pPr>
          </w:p>
        </w:tc>
        <w:tc>
          <w:tcPr>
            <w:tcW w:w="1080" w:type="dxa"/>
            <w:gridSpan w:val="2"/>
          </w:tcPr>
          <w:p w14:paraId="51D38862" w14:textId="77777777" w:rsidR="00191E1B" w:rsidRPr="00E81280" w:rsidDel="005D215F" w:rsidRDefault="00191E1B" w:rsidP="00191E1B">
            <w:pPr>
              <w:jc w:val="both"/>
            </w:pPr>
            <w:r w:rsidRPr="00E81280">
              <w:t>-</w:t>
            </w:r>
          </w:p>
        </w:tc>
        <w:tc>
          <w:tcPr>
            <w:tcW w:w="990" w:type="dxa"/>
            <w:gridSpan w:val="2"/>
          </w:tcPr>
          <w:p w14:paraId="3B2401C7" w14:textId="77777777" w:rsidR="00191E1B" w:rsidRPr="00E81280" w:rsidDel="005D215F" w:rsidRDefault="00191E1B" w:rsidP="00191E1B">
            <w:pPr>
              <w:jc w:val="both"/>
            </w:pPr>
            <w:r w:rsidRPr="00E81280">
              <w:t>-</w:t>
            </w:r>
          </w:p>
        </w:tc>
        <w:tc>
          <w:tcPr>
            <w:tcW w:w="990" w:type="dxa"/>
          </w:tcPr>
          <w:p w14:paraId="6F64F187" w14:textId="77777777" w:rsidR="00191E1B" w:rsidRPr="00E81280" w:rsidDel="005D215F" w:rsidRDefault="00191E1B" w:rsidP="00191E1B">
            <w:pPr>
              <w:jc w:val="both"/>
            </w:pPr>
            <w:r w:rsidRPr="00E81280">
              <w:t>-</w:t>
            </w:r>
          </w:p>
        </w:tc>
        <w:tc>
          <w:tcPr>
            <w:tcW w:w="990" w:type="dxa"/>
          </w:tcPr>
          <w:p w14:paraId="0E92B7C4" w14:textId="77777777" w:rsidR="00191E1B" w:rsidRPr="00E81280" w:rsidDel="005D215F" w:rsidRDefault="00191E1B" w:rsidP="00191E1B">
            <w:pPr>
              <w:jc w:val="both"/>
            </w:pPr>
            <w:r w:rsidRPr="00E81280">
              <w:t>-</w:t>
            </w:r>
          </w:p>
        </w:tc>
        <w:tc>
          <w:tcPr>
            <w:tcW w:w="1140" w:type="dxa"/>
          </w:tcPr>
          <w:p w14:paraId="2DA08716" w14:textId="77777777" w:rsidR="00191E1B" w:rsidRPr="00E81280" w:rsidDel="005D215F" w:rsidRDefault="00191E1B" w:rsidP="00191E1B">
            <w:pPr>
              <w:jc w:val="both"/>
            </w:pPr>
            <w:r w:rsidRPr="00E81280">
              <w:t>-</w:t>
            </w:r>
          </w:p>
        </w:tc>
      </w:tr>
      <w:tr w:rsidR="00191E1B" w:rsidRPr="00E81280" w14:paraId="6CF273D0" w14:textId="77777777" w:rsidTr="00477E8B">
        <w:trPr>
          <w:trHeight w:val="432"/>
        </w:trPr>
        <w:tc>
          <w:tcPr>
            <w:tcW w:w="4478" w:type="dxa"/>
            <w:gridSpan w:val="3"/>
            <w:vMerge/>
          </w:tcPr>
          <w:p w14:paraId="641ADA1C" w14:textId="77777777" w:rsidR="00191E1B" w:rsidRPr="00E81280" w:rsidRDefault="00191E1B" w:rsidP="00191E1B">
            <w:pPr>
              <w:autoSpaceDE w:val="0"/>
              <w:autoSpaceDN w:val="0"/>
              <w:adjustRightInd w:val="0"/>
              <w:jc w:val="both"/>
            </w:pPr>
          </w:p>
        </w:tc>
        <w:tc>
          <w:tcPr>
            <w:tcW w:w="892" w:type="dxa"/>
          </w:tcPr>
          <w:p w14:paraId="752E5E28" w14:textId="77777777" w:rsidR="00191E1B" w:rsidRPr="00E81280" w:rsidDel="005D215F" w:rsidRDefault="00191E1B" w:rsidP="00191E1B">
            <w:pPr>
              <w:jc w:val="both"/>
            </w:pPr>
            <w:r w:rsidRPr="00E81280">
              <w:t>-</w:t>
            </w:r>
          </w:p>
        </w:tc>
        <w:tc>
          <w:tcPr>
            <w:tcW w:w="1080" w:type="dxa"/>
            <w:gridSpan w:val="2"/>
          </w:tcPr>
          <w:p w14:paraId="0EDF0A4A" w14:textId="77777777" w:rsidR="00191E1B" w:rsidRPr="00E81280" w:rsidDel="005D215F" w:rsidRDefault="00191E1B" w:rsidP="00191E1B">
            <w:pPr>
              <w:jc w:val="both"/>
            </w:pPr>
            <w:r w:rsidRPr="00E81280">
              <w:t>-</w:t>
            </w:r>
          </w:p>
        </w:tc>
        <w:tc>
          <w:tcPr>
            <w:tcW w:w="974" w:type="dxa"/>
          </w:tcPr>
          <w:p w14:paraId="1D9A5FC6" w14:textId="77777777" w:rsidR="00191E1B" w:rsidRPr="00E81280" w:rsidDel="005D215F" w:rsidRDefault="00191E1B" w:rsidP="00191E1B">
            <w:pPr>
              <w:jc w:val="both"/>
            </w:pPr>
            <w:r w:rsidRPr="00E81280">
              <w:t>-</w:t>
            </w:r>
          </w:p>
        </w:tc>
        <w:tc>
          <w:tcPr>
            <w:tcW w:w="1006" w:type="dxa"/>
            <w:gridSpan w:val="2"/>
          </w:tcPr>
          <w:p w14:paraId="4658ECD2" w14:textId="77777777" w:rsidR="00191E1B" w:rsidRPr="00E81280" w:rsidDel="005D215F" w:rsidRDefault="00191E1B" w:rsidP="00191E1B">
            <w:pPr>
              <w:jc w:val="both"/>
            </w:pPr>
            <w:r w:rsidRPr="00E81280">
              <w:t>-</w:t>
            </w:r>
          </w:p>
        </w:tc>
        <w:tc>
          <w:tcPr>
            <w:tcW w:w="990" w:type="dxa"/>
          </w:tcPr>
          <w:p w14:paraId="5C820F7A" w14:textId="77777777" w:rsidR="00191E1B" w:rsidRPr="00E81280" w:rsidDel="005D215F" w:rsidRDefault="00191E1B" w:rsidP="00191E1B">
            <w:pPr>
              <w:jc w:val="both"/>
            </w:pPr>
            <w:r w:rsidRPr="00E81280">
              <w:t>-</w:t>
            </w:r>
          </w:p>
        </w:tc>
        <w:tc>
          <w:tcPr>
            <w:tcW w:w="1140" w:type="dxa"/>
          </w:tcPr>
          <w:p w14:paraId="04989756" w14:textId="77777777" w:rsidR="00191E1B" w:rsidRPr="00E81280" w:rsidDel="005D215F" w:rsidRDefault="00191E1B" w:rsidP="00191E1B">
            <w:pPr>
              <w:jc w:val="both"/>
            </w:pPr>
            <w:r w:rsidRPr="00E81280">
              <w:t>-</w:t>
            </w:r>
          </w:p>
        </w:tc>
      </w:tr>
      <w:tr w:rsidR="00191E1B" w:rsidRPr="00E81280" w14:paraId="16C7B99E" w14:textId="77777777" w:rsidTr="00477E8B">
        <w:tc>
          <w:tcPr>
            <w:tcW w:w="4478" w:type="dxa"/>
            <w:gridSpan w:val="3"/>
          </w:tcPr>
          <w:p w14:paraId="2C51EDE5" w14:textId="77777777" w:rsidR="00191E1B" w:rsidRPr="00E81280" w:rsidRDefault="00191E1B" w:rsidP="00191E1B">
            <w:pPr>
              <w:autoSpaceDE w:val="0"/>
              <w:autoSpaceDN w:val="0"/>
              <w:adjustRightInd w:val="0"/>
              <w:jc w:val="both"/>
            </w:pPr>
            <w:r w:rsidRPr="00E81280">
              <w:lastRenderedPageBreak/>
              <w:t>4. Propuneri pentru acoperirea creşterii cheltuielilor bugetare</w:t>
            </w:r>
          </w:p>
        </w:tc>
        <w:tc>
          <w:tcPr>
            <w:tcW w:w="6082" w:type="dxa"/>
            <w:gridSpan w:val="8"/>
          </w:tcPr>
          <w:p w14:paraId="5E20436E" w14:textId="77777777" w:rsidR="00191E1B" w:rsidRPr="00E81280" w:rsidRDefault="00191E1B" w:rsidP="00191E1B">
            <w:pPr>
              <w:jc w:val="both"/>
            </w:pPr>
            <w:r w:rsidRPr="00E81280">
              <w:t xml:space="preserve">- </w:t>
            </w:r>
          </w:p>
        </w:tc>
      </w:tr>
      <w:tr w:rsidR="00191E1B" w:rsidRPr="00E81280" w14:paraId="04045648" w14:textId="77777777" w:rsidTr="00477E8B">
        <w:tc>
          <w:tcPr>
            <w:tcW w:w="4478" w:type="dxa"/>
            <w:gridSpan w:val="3"/>
          </w:tcPr>
          <w:p w14:paraId="07289009" w14:textId="77777777" w:rsidR="00191E1B" w:rsidRPr="00E81280" w:rsidRDefault="00191E1B" w:rsidP="00191E1B">
            <w:pPr>
              <w:autoSpaceDE w:val="0"/>
              <w:autoSpaceDN w:val="0"/>
              <w:adjustRightInd w:val="0"/>
              <w:jc w:val="both"/>
            </w:pPr>
            <w:r w:rsidRPr="00E81280">
              <w:t>5. Propuneri pentru a compensa reducerea veniturilor bugetare</w:t>
            </w:r>
          </w:p>
        </w:tc>
        <w:tc>
          <w:tcPr>
            <w:tcW w:w="6082" w:type="dxa"/>
            <w:gridSpan w:val="8"/>
          </w:tcPr>
          <w:p w14:paraId="3A2A4E23" w14:textId="77777777" w:rsidR="00191E1B" w:rsidRPr="00E81280" w:rsidRDefault="00191E1B" w:rsidP="00191E1B">
            <w:pPr>
              <w:jc w:val="both"/>
            </w:pPr>
            <w:r w:rsidRPr="00E81280">
              <w:t xml:space="preserve"> </w:t>
            </w:r>
          </w:p>
        </w:tc>
      </w:tr>
      <w:tr w:rsidR="00191E1B" w:rsidRPr="00E81280" w14:paraId="7B16D2AD" w14:textId="77777777" w:rsidTr="00477E8B">
        <w:tc>
          <w:tcPr>
            <w:tcW w:w="4478" w:type="dxa"/>
            <w:gridSpan w:val="3"/>
          </w:tcPr>
          <w:p w14:paraId="356EB929" w14:textId="77777777" w:rsidR="00191E1B" w:rsidRPr="00E81280" w:rsidRDefault="00191E1B" w:rsidP="00191E1B">
            <w:pPr>
              <w:autoSpaceDE w:val="0"/>
              <w:autoSpaceDN w:val="0"/>
              <w:adjustRightInd w:val="0"/>
              <w:jc w:val="both"/>
            </w:pPr>
            <w:r w:rsidRPr="00E81280">
              <w:t>6. Calcule detaliate privind fundamentarea modificărilor veniturilor şi/sau cheltuielilor bugetare</w:t>
            </w:r>
          </w:p>
        </w:tc>
        <w:tc>
          <w:tcPr>
            <w:tcW w:w="6082" w:type="dxa"/>
            <w:gridSpan w:val="8"/>
          </w:tcPr>
          <w:p w14:paraId="73C22BCA" w14:textId="77777777" w:rsidR="00191E1B" w:rsidRPr="00E81280" w:rsidRDefault="00191E1B" w:rsidP="00191E1B">
            <w:pPr>
              <w:jc w:val="both"/>
            </w:pPr>
          </w:p>
        </w:tc>
      </w:tr>
      <w:tr w:rsidR="00191E1B" w:rsidRPr="00E81280" w14:paraId="7B9AE1F0" w14:textId="77777777" w:rsidTr="00477E8B">
        <w:tc>
          <w:tcPr>
            <w:tcW w:w="4478" w:type="dxa"/>
            <w:gridSpan w:val="3"/>
          </w:tcPr>
          <w:p w14:paraId="359D1F13" w14:textId="77777777" w:rsidR="00191E1B" w:rsidRPr="00E81280" w:rsidRDefault="00191E1B" w:rsidP="00191E1B">
            <w:pPr>
              <w:autoSpaceDE w:val="0"/>
              <w:autoSpaceDN w:val="0"/>
              <w:adjustRightInd w:val="0"/>
              <w:jc w:val="both"/>
            </w:pPr>
            <w:r>
              <w:t>7. Alte informaţii</w:t>
            </w:r>
          </w:p>
        </w:tc>
        <w:tc>
          <w:tcPr>
            <w:tcW w:w="6082" w:type="dxa"/>
            <w:gridSpan w:val="8"/>
          </w:tcPr>
          <w:p w14:paraId="67BDE8DA" w14:textId="77777777" w:rsidR="00191E1B" w:rsidRPr="00E81280" w:rsidRDefault="00191E1B" w:rsidP="00191E1B">
            <w:pPr>
              <w:jc w:val="both"/>
            </w:pPr>
            <w:r>
              <w:t>Nu au fost identificate</w:t>
            </w:r>
          </w:p>
        </w:tc>
      </w:tr>
      <w:tr w:rsidR="00191E1B" w:rsidRPr="00E81280" w14:paraId="01339584" w14:textId="77777777" w:rsidTr="00477E8B">
        <w:trPr>
          <w:trHeight w:val="401"/>
        </w:trPr>
        <w:tc>
          <w:tcPr>
            <w:tcW w:w="10560" w:type="dxa"/>
            <w:gridSpan w:val="11"/>
          </w:tcPr>
          <w:p w14:paraId="602D3B37" w14:textId="77777777" w:rsidR="00986AEA" w:rsidRDefault="00986AEA" w:rsidP="00191E1B">
            <w:pPr>
              <w:jc w:val="center"/>
              <w:rPr>
                <w:b/>
              </w:rPr>
            </w:pPr>
          </w:p>
          <w:p w14:paraId="7FDA9FDB" w14:textId="7B2F49C0" w:rsidR="00191E1B" w:rsidRPr="00E81280" w:rsidRDefault="00191E1B" w:rsidP="00191E1B">
            <w:pPr>
              <w:jc w:val="center"/>
              <w:rPr>
                <w:b/>
              </w:rPr>
            </w:pPr>
            <w:r w:rsidRPr="00E81280">
              <w:rPr>
                <w:b/>
              </w:rPr>
              <w:t>Secţiunea a 5-a: Efectele proiectului de act normativ asupra legislaţiei în vigoare</w:t>
            </w:r>
          </w:p>
        </w:tc>
      </w:tr>
      <w:tr w:rsidR="00191E1B" w:rsidRPr="00E81280" w14:paraId="74C2240F" w14:textId="77777777" w:rsidTr="00477E8B">
        <w:tc>
          <w:tcPr>
            <w:tcW w:w="4478" w:type="dxa"/>
            <w:gridSpan w:val="3"/>
          </w:tcPr>
          <w:p w14:paraId="32FB8D4B" w14:textId="77777777" w:rsidR="00191E1B" w:rsidRPr="00E81280" w:rsidRDefault="00191E1B" w:rsidP="00191E1B">
            <w:r w:rsidRPr="00E81280">
              <w:t>1.Măsuri normative necesare pentru aplicarea prevederilor proiectului de act normativ:</w:t>
            </w:r>
            <w:r>
              <w:t xml:space="preserve"> </w:t>
            </w:r>
          </w:p>
          <w:p w14:paraId="776853C1" w14:textId="77777777" w:rsidR="00191E1B" w:rsidRPr="00E81280" w:rsidRDefault="00191E1B" w:rsidP="00191E1B">
            <w:r w:rsidRPr="00E81280">
              <w:t xml:space="preserve">a) acte normative în vigoare ce vor fi modificate sau abrogate, ca urmare a intrării în vigoare a proiectului de act normativ; </w:t>
            </w:r>
          </w:p>
          <w:p w14:paraId="786212D3" w14:textId="77777777" w:rsidR="00191E1B" w:rsidRPr="00E81280" w:rsidRDefault="00191E1B" w:rsidP="00191E1B">
            <w:pPr>
              <w:autoSpaceDE w:val="0"/>
              <w:autoSpaceDN w:val="0"/>
              <w:adjustRightInd w:val="0"/>
              <w:jc w:val="both"/>
            </w:pPr>
            <w:r w:rsidRPr="00E81280">
              <w:t>b) acte normative ce urmează a fi elaborate în vederea implementării noilor dispoziţii</w:t>
            </w:r>
          </w:p>
        </w:tc>
        <w:tc>
          <w:tcPr>
            <w:tcW w:w="6082" w:type="dxa"/>
            <w:gridSpan w:val="8"/>
          </w:tcPr>
          <w:p w14:paraId="65792D0C" w14:textId="77777777" w:rsidR="00191E1B" w:rsidRPr="00E81280" w:rsidRDefault="00191E1B" w:rsidP="00191E1B">
            <w:pPr>
              <w:jc w:val="both"/>
            </w:pPr>
            <w:r w:rsidRPr="00E81280">
              <w:t xml:space="preserve"> Proiectul de act normativ nu se referă la acest subiect.</w:t>
            </w:r>
          </w:p>
        </w:tc>
      </w:tr>
      <w:tr w:rsidR="00191E1B" w:rsidRPr="00E81280" w14:paraId="7F29E197" w14:textId="77777777" w:rsidTr="00477E8B">
        <w:tc>
          <w:tcPr>
            <w:tcW w:w="4478" w:type="dxa"/>
            <w:gridSpan w:val="3"/>
          </w:tcPr>
          <w:p w14:paraId="56EE5992" w14:textId="77777777" w:rsidR="00191E1B" w:rsidRPr="00A431BA" w:rsidRDefault="00191E1B" w:rsidP="00191E1B">
            <w:pPr>
              <w:autoSpaceDE w:val="0"/>
              <w:autoSpaceDN w:val="0"/>
              <w:adjustRightInd w:val="0"/>
              <w:jc w:val="both"/>
            </w:pPr>
            <w:r w:rsidRPr="00A431BA">
              <w:t>1</w:t>
            </w:r>
            <w:r w:rsidRPr="00A431BA">
              <w:rPr>
                <w:vertAlign w:val="superscript"/>
              </w:rPr>
              <w:t xml:space="preserve">1 </w:t>
            </w:r>
            <w:r w:rsidRPr="00A431BA">
              <w:t>Compatibilitatea proiectului de act normativ cu legislaţia în domeniul achiziţiilor publice:</w:t>
            </w:r>
          </w:p>
          <w:p w14:paraId="10EF1547" w14:textId="77777777" w:rsidR="00191E1B" w:rsidRPr="00A431BA" w:rsidRDefault="00191E1B" w:rsidP="00191E1B">
            <w:pPr>
              <w:autoSpaceDE w:val="0"/>
              <w:autoSpaceDN w:val="0"/>
              <w:adjustRightInd w:val="0"/>
              <w:jc w:val="both"/>
            </w:pPr>
            <w:r w:rsidRPr="00A431BA">
              <w:t>a) impact legislativ - prevederi de modificare şi completare a cadrului normativ în domeniul achiziţiilor publice, prevederi derogatorii;</w:t>
            </w:r>
          </w:p>
          <w:p w14:paraId="3F0FF319" w14:textId="77777777" w:rsidR="00191E1B" w:rsidRPr="00A431BA" w:rsidRDefault="00191E1B" w:rsidP="00191E1B">
            <w:pPr>
              <w:jc w:val="both"/>
            </w:pPr>
            <w:r w:rsidRPr="00A431BA">
              <w:t xml:space="preserve">    b) norme cu impact la nivel operaţional/tehnic - sisteme electronice utilizate în desfăşurarea procedurilor de achiziţie publică, unităţi centralizate de achiziţii publice, structură organizatorică internă a autorităţilor contractante</w:t>
            </w:r>
            <w:r w:rsidRPr="00A431BA">
              <w:rPr>
                <w:sz w:val="28"/>
                <w:szCs w:val="28"/>
              </w:rPr>
              <w:t>.</w:t>
            </w:r>
          </w:p>
        </w:tc>
        <w:tc>
          <w:tcPr>
            <w:tcW w:w="6082" w:type="dxa"/>
            <w:gridSpan w:val="8"/>
          </w:tcPr>
          <w:p w14:paraId="61EDE9A9" w14:textId="77777777" w:rsidR="00191E1B" w:rsidRPr="00E81280" w:rsidRDefault="00191E1B" w:rsidP="00191E1B">
            <w:pPr>
              <w:jc w:val="both"/>
            </w:pPr>
            <w:r w:rsidRPr="00E81280">
              <w:t>Proiectul de act normativ nu se referă la acest subiect.</w:t>
            </w:r>
          </w:p>
        </w:tc>
      </w:tr>
      <w:tr w:rsidR="00191E1B" w:rsidRPr="00E81280" w14:paraId="07A1F639" w14:textId="77777777" w:rsidTr="00477E8B">
        <w:tc>
          <w:tcPr>
            <w:tcW w:w="4478" w:type="dxa"/>
            <w:gridSpan w:val="3"/>
          </w:tcPr>
          <w:p w14:paraId="04C05EF6" w14:textId="77777777" w:rsidR="00191E1B" w:rsidRPr="00E81280" w:rsidRDefault="00191E1B" w:rsidP="00191E1B">
            <w:pPr>
              <w:autoSpaceDE w:val="0"/>
              <w:autoSpaceDN w:val="0"/>
              <w:adjustRightInd w:val="0"/>
              <w:jc w:val="both"/>
            </w:pPr>
            <w:r w:rsidRPr="00E81280">
              <w:t>2. Compatibilitatea proiectului de act normativ cu legislaţia comunitară în materie</w:t>
            </w:r>
          </w:p>
        </w:tc>
        <w:tc>
          <w:tcPr>
            <w:tcW w:w="6082" w:type="dxa"/>
            <w:gridSpan w:val="8"/>
          </w:tcPr>
          <w:p w14:paraId="6307B5A4" w14:textId="77777777" w:rsidR="00191E1B" w:rsidRDefault="00191E1B" w:rsidP="00191E1B">
            <w:pPr>
              <w:jc w:val="both"/>
            </w:pPr>
            <w:r w:rsidRPr="00E81280">
              <w:t>Proiectul de act normativ nu se referă la acest subiect.</w:t>
            </w:r>
          </w:p>
          <w:p w14:paraId="39D05036" w14:textId="77777777" w:rsidR="00191E1B" w:rsidRPr="00E81280" w:rsidRDefault="00191E1B" w:rsidP="00191E1B">
            <w:pPr>
              <w:jc w:val="both"/>
            </w:pPr>
          </w:p>
        </w:tc>
      </w:tr>
      <w:tr w:rsidR="00191E1B" w:rsidRPr="00E81280" w14:paraId="091240BE" w14:textId="77777777" w:rsidTr="00477E8B">
        <w:tc>
          <w:tcPr>
            <w:tcW w:w="4478" w:type="dxa"/>
            <w:gridSpan w:val="3"/>
          </w:tcPr>
          <w:p w14:paraId="6B6F8A93" w14:textId="77777777" w:rsidR="00191E1B" w:rsidRPr="00E81280" w:rsidRDefault="00191E1B" w:rsidP="00191E1B">
            <w:pPr>
              <w:autoSpaceDE w:val="0"/>
              <w:autoSpaceDN w:val="0"/>
              <w:adjustRightInd w:val="0"/>
              <w:jc w:val="both"/>
            </w:pPr>
            <w:r w:rsidRPr="00E81280">
              <w:t>3. Măsuri normative necesare aplicării directe a actelor normative comunitare</w:t>
            </w:r>
          </w:p>
        </w:tc>
        <w:tc>
          <w:tcPr>
            <w:tcW w:w="6082" w:type="dxa"/>
            <w:gridSpan w:val="8"/>
          </w:tcPr>
          <w:p w14:paraId="31240724" w14:textId="77777777" w:rsidR="00191E1B" w:rsidRDefault="00191E1B" w:rsidP="00191E1B">
            <w:pPr>
              <w:jc w:val="both"/>
            </w:pPr>
            <w:r w:rsidRPr="00E81280">
              <w:t>Proiectul de act normativ nu se referă la acest subiect.</w:t>
            </w:r>
          </w:p>
          <w:p w14:paraId="4E32AC8B" w14:textId="77777777" w:rsidR="00191E1B" w:rsidRPr="00E81280" w:rsidRDefault="00191E1B" w:rsidP="00191E1B">
            <w:pPr>
              <w:jc w:val="both"/>
            </w:pPr>
          </w:p>
        </w:tc>
      </w:tr>
      <w:tr w:rsidR="00191E1B" w:rsidRPr="00E81280" w14:paraId="7B9EEBE7" w14:textId="77777777" w:rsidTr="00477E8B">
        <w:tc>
          <w:tcPr>
            <w:tcW w:w="4478" w:type="dxa"/>
            <w:gridSpan w:val="3"/>
          </w:tcPr>
          <w:p w14:paraId="1C4A7040" w14:textId="77777777" w:rsidR="00191E1B" w:rsidRPr="00E81280" w:rsidRDefault="00191E1B" w:rsidP="00191E1B">
            <w:pPr>
              <w:autoSpaceDE w:val="0"/>
              <w:autoSpaceDN w:val="0"/>
              <w:adjustRightInd w:val="0"/>
              <w:jc w:val="both"/>
            </w:pPr>
            <w:r w:rsidRPr="00E81280">
              <w:t>4. Hotărâri ale Curţii Europene de Justiţie a Uniunii Europene</w:t>
            </w:r>
          </w:p>
        </w:tc>
        <w:tc>
          <w:tcPr>
            <w:tcW w:w="6082" w:type="dxa"/>
            <w:gridSpan w:val="8"/>
          </w:tcPr>
          <w:p w14:paraId="6EC0F5B4" w14:textId="77777777" w:rsidR="00191E1B" w:rsidRPr="00E81280" w:rsidRDefault="00191E1B" w:rsidP="00191E1B">
            <w:pPr>
              <w:spacing w:line="360" w:lineRule="auto"/>
              <w:jc w:val="both"/>
            </w:pPr>
            <w:r>
              <w:t>Proiectul de act normativ nu se referă la acest subiect.</w:t>
            </w:r>
          </w:p>
        </w:tc>
      </w:tr>
      <w:tr w:rsidR="00191E1B" w:rsidRPr="00E81280" w14:paraId="0732C298" w14:textId="77777777" w:rsidTr="00477E8B">
        <w:tc>
          <w:tcPr>
            <w:tcW w:w="4478" w:type="dxa"/>
            <w:gridSpan w:val="3"/>
          </w:tcPr>
          <w:p w14:paraId="1ACD0451" w14:textId="77777777" w:rsidR="00191E1B" w:rsidRPr="00E81280" w:rsidRDefault="00191E1B" w:rsidP="00191E1B">
            <w:pPr>
              <w:autoSpaceDE w:val="0"/>
              <w:autoSpaceDN w:val="0"/>
              <w:adjustRightInd w:val="0"/>
              <w:jc w:val="both"/>
            </w:pPr>
            <w:r w:rsidRPr="00E81280">
              <w:t>5. Alte acte normative şi/sau documente internaţionale din care decurg angajamente</w:t>
            </w:r>
          </w:p>
        </w:tc>
        <w:tc>
          <w:tcPr>
            <w:tcW w:w="6082" w:type="dxa"/>
            <w:gridSpan w:val="8"/>
          </w:tcPr>
          <w:p w14:paraId="462B5398" w14:textId="77777777" w:rsidR="00191E1B" w:rsidRPr="00E81280" w:rsidRDefault="00191E1B" w:rsidP="00191E1B">
            <w:pPr>
              <w:jc w:val="both"/>
            </w:pPr>
            <w:r>
              <w:t xml:space="preserve">Proiectul de act normativ nu se referă la acest subiect. </w:t>
            </w:r>
          </w:p>
        </w:tc>
      </w:tr>
      <w:tr w:rsidR="00191E1B" w:rsidRPr="00E81280" w14:paraId="4E10FD17" w14:textId="77777777" w:rsidTr="00477E8B">
        <w:tc>
          <w:tcPr>
            <w:tcW w:w="4478" w:type="dxa"/>
            <w:gridSpan w:val="3"/>
          </w:tcPr>
          <w:p w14:paraId="415FE290" w14:textId="77777777" w:rsidR="00191E1B" w:rsidRPr="00E81280" w:rsidRDefault="00191E1B" w:rsidP="00191E1B">
            <w:pPr>
              <w:autoSpaceDE w:val="0"/>
              <w:autoSpaceDN w:val="0"/>
              <w:adjustRightInd w:val="0"/>
              <w:jc w:val="both"/>
            </w:pPr>
            <w:r w:rsidRPr="00E81280">
              <w:t>6. Alte informaţi</w:t>
            </w:r>
          </w:p>
        </w:tc>
        <w:tc>
          <w:tcPr>
            <w:tcW w:w="6082" w:type="dxa"/>
            <w:gridSpan w:val="8"/>
          </w:tcPr>
          <w:p w14:paraId="168381A3" w14:textId="77777777" w:rsidR="00191E1B" w:rsidRPr="00E81280" w:rsidRDefault="00191E1B" w:rsidP="00191E1B">
            <w:pPr>
              <w:jc w:val="both"/>
            </w:pPr>
            <w:r w:rsidRPr="00E81280">
              <w:t>Nu au fost identificate</w:t>
            </w:r>
          </w:p>
        </w:tc>
      </w:tr>
      <w:tr w:rsidR="00191E1B" w:rsidRPr="00E81280" w14:paraId="76531AB8" w14:textId="77777777" w:rsidTr="00477E8B">
        <w:tc>
          <w:tcPr>
            <w:tcW w:w="10560" w:type="dxa"/>
            <w:gridSpan w:val="11"/>
          </w:tcPr>
          <w:p w14:paraId="2A52509E" w14:textId="77777777" w:rsidR="00986AEA" w:rsidRDefault="00986AEA" w:rsidP="00191E1B">
            <w:pPr>
              <w:autoSpaceDE w:val="0"/>
              <w:autoSpaceDN w:val="0"/>
              <w:adjustRightInd w:val="0"/>
              <w:spacing w:line="360" w:lineRule="auto"/>
              <w:jc w:val="center"/>
              <w:rPr>
                <w:b/>
              </w:rPr>
            </w:pPr>
          </w:p>
          <w:p w14:paraId="7CCA4201" w14:textId="0A66F1AE" w:rsidR="00191E1B" w:rsidRPr="00E81280" w:rsidRDefault="00191E1B" w:rsidP="00191E1B">
            <w:pPr>
              <w:autoSpaceDE w:val="0"/>
              <w:autoSpaceDN w:val="0"/>
              <w:adjustRightInd w:val="0"/>
              <w:spacing w:line="360" w:lineRule="auto"/>
              <w:jc w:val="center"/>
              <w:rPr>
                <w:b/>
              </w:rPr>
            </w:pPr>
            <w:r w:rsidRPr="00E81280">
              <w:rPr>
                <w:b/>
              </w:rPr>
              <w:t>Secţiunea a 6-a: Consultările efectuate în vederea elaborării proiectului de act normativ</w:t>
            </w:r>
          </w:p>
        </w:tc>
      </w:tr>
      <w:tr w:rsidR="00191E1B" w:rsidRPr="00E81280" w14:paraId="0B803743" w14:textId="77777777" w:rsidTr="00477E8B">
        <w:tc>
          <w:tcPr>
            <w:tcW w:w="4478" w:type="dxa"/>
            <w:gridSpan w:val="3"/>
          </w:tcPr>
          <w:p w14:paraId="6D34F682" w14:textId="77777777" w:rsidR="00191E1B" w:rsidRPr="00E81280" w:rsidRDefault="00191E1B" w:rsidP="00191E1B">
            <w:pPr>
              <w:autoSpaceDE w:val="0"/>
              <w:autoSpaceDN w:val="0"/>
              <w:adjustRightInd w:val="0"/>
              <w:jc w:val="both"/>
            </w:pPr>
            <w:r w:rsidRPr="00E81280">
              <w:t>1. Informaţii privind procesul de consultare cu organizaţii neguvernamentale, institute de cercetare şi alte organisme implicate</w:t>
            </w:r>
          </w:p>
        </w:tc>
        <w:tc>
          <w:tcPr>
            <w:tcW w:w="6082" w:type="dxa"/>
            <w:gridSpan w:val="8"/>
          </w:tcPr>
          <w:p w14:paraId="23E1C833" w14:textId="77777777" w:rsidR="00191E1B" w:rsidRPr="00E81280" w:rsidRDefault="00191E1B" w:rsidP="00191E1B">
            <w:pPr>
              <w:jc w:val="both"/>
            </w:pPr>
            <w:r w:rsidRPr="00E81280">
              <w:t>Proiectul de act normativ nu se referă la acest subiect.</w:t>
            </w:r>
          </w:p>
          <w:p w14:paraId="27CA0074" w14:textId="77777777" w:rsidR="00191E1B" w:rsidRPr="00E81280" w:rsidRDefault="00191E1B" w:rsidP="00191E1B">
            <w:pPr>
              <w:jc w:val="both"/>
            </w:pPr>
          </w:p>
        </w:tc>
      </w:tr>
      <w:tr w:rsidR="00191E1B" w:rsidRPr="00E81280" w14:paraId="7F72435E" w14:textId="77777777" w:rsidTr="00477E8B">
        <w:tc>
          <w:tcPr>
            <w:tcW w:w="4478" w:type="dxa"/>
            <w:gridSpan w:val="3"/>
          </w:tcPr>
          <w:p w14:paraId="50D4C601" w14:textId="77777777" w:rsidR="00191E1B" w:rsidRPr="00E81280" w:rsidRDefault="00191E1B" w:rsidP="00191E1B">
            <w:pPr>
              <w:autoSpaceDE w:val="0"/>
              <w:autoSpaceDN w:val="0"/>
              <w:adjustRightInd w:val="0"/>
              <w:jc w:val="both"/>
            </w:pPr>
            <w:r w:rsidRPr="00E81280">
              <w:t>2. Fundamentarea alegerii organizaţiilor cu care a avut loc consultarea, precum şi a modului în care activitatea acestor organizaţii este legată de obiectul proiectului de act normativ</w:t>
            </w:r>
          </w:p>
        </w:tc>
        <w:tc>
          <w:tcPr>
            <w:tcW w:w="6082" w:type="dxa"/>
            <w:gridSpan w:val="8"/>
          </w:tcPr>
          <w:p w14:paraId="0DBCE4D7" w14:textId="77777777" w:rsidR="00191E1B" w:rsidRPr="00E81280" w:rsidRDefault="00191E1B" w:rsidP="00191E1B">
            <w:pPr>
              <w:jc w:val="both"/>
            </w:pPr>
            <w:r w:rsidRPr="00E81280">
              <w:t>Proiectul de act normativ nu se referă la acest subiect.</w:t>
            </w:r>
          </w:p>
          <w:p w14:paraId="22A3C2BB" w14:textId="77777777" w:rsidR="00191E1B" w:rsidRPr="00E81280" w:rsidRDefault="00191E1B" w:rsidP="00191E1B">
            <w:pPr>
              <w:spacing w:line="360" w:lineRule="auto"/>
              <w:jc w:val="both"/>
            </w:pPr>
          </w:p>
        </w:tc>
      </w:tr>
      <w:tr w:rsidR="00191E1B" w:rsidRPr="00E81280" w14:paraId="0AF921E9" w14:textId="77777777" w:rsidTr="00477E8B">
        <w:tc>
          <w:tcPr>
            <w:tcW w:w="4478" w:type="dxa"/>
            <w:gridSpan w:val="3"/>
          </w:tcPr>
          <w:p w14:paraId="5D8F5945" w14:textId="77777777" w:rsidR="00191E1B" w:rsidRPr="00E81280" w:rsidRDefault="00191E1B" w:rsidP="00191E1B">
            <w:pPr>
              <w:autoSpaceDE w:val="0"/>
              <w:autoSpaceDN w:val="0"/>
              <w:adjustRightInd w:val="0"/>
              <w:jc w:val="both"/>
            </w:pPr>
            <w:r w:rsidRPr="00E81280">
              <w:t xml:space="preserve">3. Consultările organizate cu autorităţile administraţiei publice locale, în situaţia în care proiectul de act normativ are ca obiect </w:t>
            </w:r>
            <w:r w:rsidRPr="00E81280">
              <w:lastRenderedPageBreak/>
              <w:t>activităţi ale acestor autorităţi, în condiţiile Hotărârii Guvernului nr. 521/2005 privind procedura de consultare a structurilor asociative ale autorităţilor administraţiei publice locale la elaborarea proiectelor de acte normative</w:t>
            </w:r>
          </w:p>
        </w:tc>
        <w:tc>
          <w:tcPr>
            <w:tcW w:w="6082" w:type="dxa"/>
            <w:gridSpan w:val="8"/>
          </w:tcPr>
          <w:p w14:paraId="5F608A1A" w14:textId="77777777" w:rsidR="00191E1B" w:rsidRPr="00E81280" w:rsidRDefault="00191E1B" w:rsidP="00191E1B">
            <w:pPr>
              <w:jc w:val="both"/>
            </w:pPr>
            <w:r w:rsidRPr="00E81280">
              <w:lastRenderedPageBreak/>
              <w:t>Proiectul de act normativ nu se referă la acest subiect.</w:t>
            </w:r>
          </w:p>
          <w:p w14:paraId="159EDFB7" w14:textId="77777777" w:rsidR="00191E1B" w:rsidRPr="00E81280" w:rsidRDefault="00191E1B" w:rsidP="00191E1B">
            <w:pPr>
              <w:jc w:val="both"/>
            </w:pPr>
          </w:p>
        </w:tc>
      </w:tr>
      <w:tr w:rsidR="00191E1B" w:rsidRPr="00E81280" w14:paraId="471EA48D" w14:textId="77777777" w:rsidTr="00477E8B">
        <w:tc>
          <w:tcPr>
            <w:tcW w:w="4478" w:type="dxa"/>
            <w:gridSpan w:val="3"/>
          </w:tcPr>
          <w:p w14:paraId="1296A47D" w14:textId="77777777" w:rsidR="00191E1B" w:rsidRPr="00E81280" w:rsidRDefault="00191E1B" w:rsidP="00191E1B">
            <w:pPr>
              <w:autoSpaceDE w:val="0"/>
              <w:autoSpaceDN w:val="0"/>
              <w:adjustRightInd w:val="0"/>
              <w:jc w:val="both"/>
            </w:pPr>
            <w:r w:rsidRPr="00E81280">
              <w:t>4. Consultările desfăşurate în cadrul consiliilor interministeriale, în conformitate cu prevederile Hotărârii Guvernului nr.</w:t>
            </w:r>
          </w:p>
          <w:p w14:paraId="383115C5" w14:textId="77777777" w:rsidR="00191E1B" w:rsidRPr="00E81280" w:rsidRDefault="00191E1B" w:rsidP="00191E1B">
            <w:pPr>
              <w:autoSpaceDE w:val="0"/>
              <w:autoSpaceDN w:val="0"/>
              <w:adjustRightInd w:val="0"/>
              <w:jc w:val="both"/>
            </w:pPr>
            <w:r w:rsidRPr="00E81280">
              <w:t xml:space="preserve"> 750/2005 privind constituirea consiliilor interministeriale permanente</w:t>
            </w:r>
          </w:p>
        </w:tc>
        <w:tc>
          <w:tcPr>
            <w:tcW w:w="6082" w:type="dxa"/>
            <w:gridSpan w:val="8"/>
          </w:tcPr>
          <w:p w14:paraId="4E1CEF8C" w14:textId="77777777" w:rsidR="00191E1B" w:rsidRPr="00E81280" w:rsidRDefault="00191E1B" w:rsidP="00191E1B">
            <w:pPr>
              <w:spacing w:line="360" w:lineRule="auto"/>
              <w:jc w:val="both"/>
            </w:pPr>
            <w:r w:rsidRPr="0072580D">
              <w:t>Acest proiect nu este supus consultărilor comisiilor interministeriale</w:t>
            </w:r>
            <w:r w:rsidRPr="009C0F98">
              <w:t xml:space="preserve"> </w:t>
            </w:r>
            <w:r w:rsidRPr="009C0F98">
              <w:rPr>
                <w:b/>
              </w:rPr>
              <w:t xml:space="preserve"> </w:t>
            </w:r>
          </w:p>
        </w:tc>
      </w:tr>
      <w:tr w:rsidR="00191E1B" w:rsidRPr="00E81280" w14:paraId="4934D365" w14:textId="77777777" w:rsidTr="00477E8B">
        <w:tc>
          <w:tcPr>
            <w:tcW w:w="4478" w:type="dxa"/>
            <w:gridSpan w:val="3"/>
          </w:tcPr>
          <w:p w14:paraId="7D9B9521" w14:textId="77777777" w:rsidR="00191E1B" w:rsidRPr="00E81280" w:rsidRDefault="00191E1B" w:rsidP="00191E1B">
            <w:pPr>
              <w:autoSpaceDE w:val="0"/>
              <w:autoSpaceDN w:val="0"/>
              <w:adjustRightInd w:val="0"/>
              <w:jc w:val="both"/>
            </w:pPr>
            <w:r w:rsidRPr="00E81280">
              <w:t>5. Informaţii privind avizarea către:</w:t>
            </w:r>
          </w:p>
          <w:p w14:paraId="54B50002" w14:textId="77777777" w:rsidR="00191E1B" w:rsidRPr="00E81280" w:rsidRDefault="00191E1B" w:rsidP="00191E1B">
            <w:pPr>
              <w:autoSpaceDE w:val="0"/>
              <w:autoSpaceDN w:val="0"/>
              <w:adjustRightInd w:val="0"/>
              <w:jc w:val="both"/>
            </w:pPr>
            <w:r w:rsidRPr="00E81280">
              <w:t>a) Consiliul Legislativ</w:t>
            </w:r>
          </w:p>
          <w:p w14:paraId="3ECE31A8" w14:textId="77777777" w:rsidR="00191E1B" w:rsidRPr="00E81280" w:rsidRDefault="00191E1B" w:rsidP="00191E1B">
            <w:pPr>
              <w:autoSpaceDE w:val="0"/>
              <w:autoSpaceDN w:val="0"/>
              <w:adjustRightInd w:val="0"/>
              <w:jc w:val="both"/>
            </w:pPr>
            <w:r w:rsidRPr="00E81280">
              <w:t>b) Consiliul Suprem de Apărare a Ţării</w:t>
            </w:r>
          </w:p>
          <w:p w14:paraId="0753C736" w14:textId="77777777" w:rsidR="00191E1B" w:rsidRPr="00E81280" w:rsidRDefault="00191E1B" w:rsidP="00191E1B">
            <w:pPr>
              <w:autoSpaceDE w:val="0"/>
              <w:autoSpaceDN w:val="0"/>
              <w:adjustRightInd w:val="0"/>
              <w:jc w:val="both"/>
            </w:pPr>
            <w:r w:rsidRPr="00E81280">
              <w:t>c) Consiliul Economic şi Social</w:t>
            </w:r>
          </w:p>
          <w:p w14:paraId="340E198A" w14:textId="77777777" w:rsidR="00191E1B" w:rsidRPr="00E81280" w:rsidRDefault="00191E1B" w:rsidP="00191E1B">
            <w:pPr>
              <w:autoSpaceDE w:val="0"/>
              <w:autoSpaceDN w:val="0"/>
              <w:adjustRightInd w:val="0"/>
              <w:jc w:val="both"/>
            </w:pPr>
            <w:r w:rsidRPr="00E81280">
              <w:t>d) Consiliul Concurenţei</w:t>
            </w:r>
          </w:p>
          <w:p w14:paraId="1BF6A272" w14:textId="77777777" w:rsidR="00191E1B" w:rsidRPr="00E81280" w:rsidRDefault="00191E1B" w:rsidP="00191E1B">
            <w:pPr>
              <w:autoSpaceDE w:val="0"/>
              <w:autoSpaceDN w:val="0"/>
              <w:adjustRightInd w:val="0"/>
              <w:jc w:val="both"/>
            </w:pPr>
            <w:r w:rsidRPr="00E81280">
              <w:t>e) Curtea de Conturi</w:t>
            </w:r>
          </w:p>
        </w:tc>
        <w:tc>
          <w:tcPr>
            <w:tcW w:w="6082" w:type="dxa"/>
            <w:gridSpan w:val="8"/>
          </w:tcPr>
          <w:p w14:paraId="5FC2A4B0" w14:textId="77777777" w:rsidR="00191E1B" w:rsidRPr="00E81280" w:rsidRDefault="00191E1B" w:rsidP="00191E1B">
            <w:pPr>
              <w:jc w:val="both"/>
            </w:pPr>
            <w:r>
              <w:t>Proiectul nu se referă la acest subiect.</w:t>
            </w:r>
          </w:p>
        </w:tc>
      </w:tr>
      <w:tr w:rsidR="00191E1B" w:rsidRPr="00E81280" w14:paraId="6B5937B1" w14:textId="77777777" w:rsidTr="00477E8B">
        <w:tc>
          <w:tcPr>
            <w:tcW w:w="4478" w:type="dxa"/>
            <w:gridSpan w:val="3"/>
          </w:tcPr>
          <w:p w14:paraId="0A9EB345" w14:textId="77777777" w:rsidR="00191E1B" w:rsidRPr="00E81280" w:rsidRDefault="00191E1B" w:rsidP="00191E1B">
            <w:pPr>
              <w:autoSpaceDE w:val="0"/>
              <w:autoSpaceDN w:val="0"/>
              <w:adjustRightInd w:val="0"/>
              <w:jc w:val="both"/>
            </w:pPr>
            <w:r>
              <w:t>6. Alte informaţii</w:t>
            </w:r>
          </w:p>
        </w:tc>
        <w:tc>
          <w:tcPr>
            <w:tcW w:w="6082" w:type="dxa"/>
            <w:gridSpan w:val="8"/>
          </w:tcPr>
          <w:p w14:paraId="05500EEC" w14:textId="77777777" w:rsidR="00191E1B" w:rsidRPr="003C518C" w:rsidRDefault="00191E1B" w:rsidP="00191E1B">
            <w:pPr>
              <w:jc w:val="both"/>
            </w:pPr>
            <w:r>
              <w:t>Nu au fost identificate.</w:t>
            </w:r>
          </w:p>
        </w:tc>
      </w:tr>
      <w:tr w:rsidR="00191E1B" w:rsidRPr="00E81280" w14:paraId="0494345F" w14:textId="77777777" w:rsidTr="00477E8B">
        <w:tc>
          <w:tcPr>
            <w:tcW w:w="10560" w:type="dxa"/>
            <w:gridSpan w:val="11"/>
          </w:tcPr>
          <w:p w14:paraId="58BA77D6" w14:textId="42459F8C" w:rsidR="00191E1B" w:rsidRPr="002165F5" w:rsidRDefault="00191E1B" w:rsidP="00191E1B">
            <w:pPr>
              <w:autoSpaceDE w:val="0"/>
              <w:autoSpaceDN w:val="0"/>
              <w:adjustRightInd w:val="0"/>
              <w:jc w:val="center"/>
            </w:pPr>
            <w:r w:rsidRPr="00E81280">
              <w:rPr>
                <w:b/>
              </w:rPr>
              <w:t>Secţiunea a 7-a: Activităţi de informare publică privind elaborarea şi implementarea proiectului de act normativ</w:t>
            </w:r>
          </w:p>
        </w:tc>
      </w:tr>
      <w:tr w:rsidR="00191E1B" w:rsidRPr="00E81280" w14:paraId="52DF09D2" w14:textId="77777777" w:rsidTr="00477E8B">
        <w:tc>
          <w:tcPr>
            <w:tcW w:w="4478" w:type="dxa"/>
            <w:gridSpan w:val="3"/>
          </w:tcPr>
          <w:p w14:paraId="44A9DC01" w14:textId="77777777" w:rsidR="00191E1B" w:rsidRPr="00E81280" w:rsidRDefault="00191E1B" w:rsidP="00191E1B">
            <w:pPr>
              <w:autoSpaceDE w:val="0"/>
              <w:autoSpaceDN w:val="0"/>
              <w:adjustRightInd w:val="0"/>
              <w:ind w:left="-69"/>
              <w:jc w:val="both"/>
            </w:pPr>
            <w:r w:rsidRPr="00E81280">
              <w:t>1. Informarea societăţii civile cu privire la necesitatea elaborării proiectului de act normativ</w:t>
            </w:r>
          </w:p>
        </w:tc>
        <w:tc>
          <w:tcPr>
            <w:tcW w:w="6082" w:type="dxa"/>
            <w:gridSpan w:val="8"/>
          </w:tcPr>
          <w:p w14:paraId="4369F4BF" w14:textId="77777777" w:rsidR="00191E1B" w:rsidRPr="00E81280" w:rsidRDefault="00191E1B" w:rsidP="00191E1B">
            <w:pPr>
              <w:jc w:val="both"/>
            </w:pPr>
            <w:r>
              <w:t xml:space="preserve">Prezentul proiect de act normativ este supus procedurii prevăzute de </w:t>
            </w:r>
            <w:r w:rsidRPr="00605C3B">
              <w:t>Legea nr. 52/2003 privind transparenţa decizională în administraţia publică, republicată, cu modificările ulterioare.</w:t>
            </w:r>
          </w:p>
        </w:tc>
      </w:tr>
      <w:tr w:rsidR="00191E1B" w:rsidRPr="00E81280" w14:paraId="0CC39C8F" w14:textId="77777777" w:rsidTr="00477E8B">
        <w:tc>
          <w:tcPr>
            <w:tcW w:w="4478" w:type="dxa"/>
            <w:gridSpan w:val="3"/>
          </w:tcPr>
          <w:p w14:paraId="51888D3D" w14:textId="77777777" w:rsidR="00191E1B" w:rsidRPr="00E81280" w:rsidRDefault="00191E1B" w:rsidP="00191E1B">
            <w:pPr>
              <w:autoSpaceDE w:val="0"/>
              <w:autoSpaceDN w:val="0"/>
              <w:adjustRightInd w:val="0"/>
              <w:jc w:val="both"/>
            </w:pPr>
            <w:r w:rsidRPr="00E81280">
              <w:t>2. Informarea societăţii civile cu privire la eventualul impact asupra mediului în urma implementării proiectului de act normativ, precum şi efectele asupra sănătăţii şi securităţii cetăţenilor sau diversităţii biologice</w:t>
            </w:r>
          </w:p>
        </w:tc>
        <w:tc>
          <w:tcPr>
            <w:tcW w:w="6082" w:type="dxa"/>
            <w:gridSpan w:val="8"/>
          </w:tcPr>
          <w:p w14:paraId="7E9F2FBA" w14:textId="77777777" w:rsidR="00191E1B" w:rsidRPr="00E81280" w:rsidRDefault="00191E1B" w:rsidP="00191E1B">
            <w:pPr>
              <w:jc w:val="both"/>
            </w:pPr>
            <w:r w:rsidRPr="00E81280">
              <w:t>Proiectul de act normativ nu se referă la acest subiect.</w:t>
            </w:r>
          </w:p>
          <w:p w14:paraId="3BF6F938" w14:textId="77777777" w:rsidR="00191E1B" w:rsidRPr="00E81280" w:rsidRDefault="00191E1B" w:rsidP="00191E1B">
            <w:pPr>
              <w:jc w:val="both"/>
            </w:pPr>
          </w:p>
        </w:tc>
      </w:tr>
      <w:tr w:rsidR="00191E1B" w:rsidRPr="00E81280" w14:paraId="79B2D648" w14:textId="77777777" w:rsidTr="00477E8B">
        <w:tc>
          <w:tcPr>
            <w:tcW w:w="4478" w:type="dxa"/>
            <w:gridSpan w:val="3"/>
          </w:tcPr>
          <w:p w14:paraId="4759CACD" w14:textId="77777777" w:rsidR="00191E1B" w:rsidRPr="00E81280" w:rsidRDefault="00191E1B" w:rsidP="00191E1B">
            <w:pPr>
              <w:autoSpaceDE w:val="0"/>
              <w:autoSpaceDN w:val="0"/>
              <w:adjustRightInd w:val="0"/>
            </w:pPr>
            <w:r w:rsidRPr="00E81280">
              <w:t>3. Alte informaţii</w:t>
            </w:r>
          </w:p>
        </w:tc>
        <w:tc>
          <w:tcPr>
            <w:tcW w:w="6082" w:type="dxa"/>
            <w:gridSpan w:val="8"/>
          </w:tcPr>
          <w:p w14:paraId="5AC604CB" w14:textId="77777777" w:rsidR="00191E1B" w:rsidRPr="00E81280" w:rsidRDefault="00191E1B" w:rsidP="00191E1B">
            <w:pPr>
              <w:jc w:val="both"/>
            </w:pPr>
            <w:r w:rsidRPr="00E81280">
              <w:t>Nu au fost identificate</w:t>
            </w:r>
          </w:p>
        </w:tc>
      </w:tr>
      <w:tr w:rsidR="00191E1B" w:rsidRPr="00E81280" w14:paraId="366E6DD9" w14:textId="77777777" w:rsidTr="00477E8B">
        <w:trPr>
          <w:trHeight w:val="269"/>
        </w:trPr>
        <w:tc>
          <w:tcPr>
            <w:tcW w:w="10560" w:type="dxa"/>
            <w:gridSpan w:val="11"/>
          </w:tcPr>
          <w:p w14:paraId="5CD36FA1" w14:textId="77777777" w:rsidR="00191E1B" w:rsidRPr="00E81280" w:rsidRDefault="00191E1B" w:rsidP="00191E1B">
            <w:pPr>
              <w:autoSpaceDE w:val="0"/>
              <w:autoSpaceDN w:val="0"/>
              <w:adjustRightInd w:val="0"/>
              <w:spacing w:line="360" w:lineRule="auto"/>
              <w:jc w:val="center"/>
              <w:rPr>
                <w:b/>
              </w:rPr>
            </w:pPr>
            <w:r w:rsidRPr="00E81280">
              <w:rPr>
                <w:b/>
              </w:rPr>
              <w:t>Secţiunea a 8-a: Măsuri de implementare</w:t>
            </w:r>
          </w:p>
        </w:tc>
      </w:tr>
      <w:tr w:rsidR="00191E1B" w:rsidRPr="00E81280" w14:paraId="62AB5A6B" w14:textId="77777777" w:rsidTr="00477E8B">
        <w:tc>
          <w:tcPr>
            <w:tcW w:w="4478" w:type="dxa"/>
            <w:gridSpan w:val="3"/>
          </w:tcPr>
          <w:p w14:paraId="4578E90F" w14:textId="77777777" w:rsidR="00191E1B" w:rsidRPr="00E81280" w:rsidRDefault="00191E1B" w:rsidP="00191E1B">
            <w:pPr>
              <w:autoSpaceDE w:val="0"/>
              <w:autoSpaceDN w:val="0"/>
              <w:adjustRightInd w:val="0"/>
              <w:jc w:val="both"/>
            </w:pPr>
            <w:r>
              <w:t xml:space="preserve">1. Măsurile </w:t>
            </w:r>
            <w:r w:rsidRPr="00E81280">
              <w:t>de punere în aplicare a proiectului de act normativ de către  autorităţile administraţiei publice centrale şi/sau locale – înfiinţarea unor noi organisme sau extinderea competenţelor instituţiilor existente</w:t>
            </w:r>
          </w:p>
        </w:tc>
        <w:tc>
          <w:tcPr>
            <w:tcW w:w="6082" w:type="dxa"/>
            <w:gridSpan w:val="8"/>
          </w:tcPr>
          <w:p w14:paraId="4A91CC60" w14:textId="77777777" w:rsidR="00191E1B" w:rsidRPr="00E81280" w:rsidRDefault="00191E1B" w:rsidP="00191E1B">
            <w:pPr>
              <w:jc w:val="both"/>
            </w:pPr>
            <w:r w:rsidRPr="00E81280">
              <w:t>Proiectul de act normativ nu se referă la acest subiect.</w:t>
            </w:r>
          </w:p>
          <w:p w14:paraId="565A563E" w14:textId="77777777" w:rsidR="00191E1B" w:rsidRPr="00E81280" w:rsidRDefault="00191E1B" w:rsidP="00191E1B">
            <w:pPr>
              <w:jc w:val="both"/>
            </w:pPr>
          </w:p>
        </w:tc>
      </w:tr>
      <w:tr w:rsidR="00191E1B" w:rsidRPr="00E81280" w14:paraId="396C99ED" w14:textId="77777777" w:rsidTr="00477E8B">
        <w:tc>
          <w:tcPr>
            <w:tcW w:w="4478" w:type="dxa"/>
            <w:gridSpan w:val="3"/>
          </w:tcPr>
          <w:p w14:paraId="62B8A92A" w14:textId="77777777" w:rsidR="00191E1B" w:rsidRPr="00E81280" w:rsidRDefault="00191E1B" w:rsidP="00191E1B">
            <w:pPr>
              <w:autoSpaceDE w:val="0"/>
              <w:autoSpaceDN w:val="0"/>
              <w:adjustRightInd w:val="0"/>
              <w:jc w:val="both"/>
            </w:pPr>
            <w:r w:rsidRPr="00E81280">
              <w:t>2. Alte informaţii</w:t>
            </w:r>
          </w:p>
        </w:tc>
        <w:tc>
          <w:tcPr>
            <w:tcW w:w="6082" w:type="dxa"/>
            <w:gridSpan w:val="8"/>
          </w:tcPr>
          <w:p w14:paraId="613E987B" w14:textId="77777777" w:rsidR="00191E1B" w:rsidRPr="00E81280" w:rsidRDefault="00191E1B" w:rsidP="00191E1B">
            <w:pPr>
              <w:jc w:val="both"/>
            </w:pPr>
            <w:r w:rsidRPr="00E81280">
              <w:t>Nu au fost identificate</w:t>
            </w:r>
          </w:p>
        </w:tc>
      </w:tr>
    </w:tbl>
    <w:p w14:paraId="1659DA83" w14:textId="77777777" w:rsidR="00477E8B" w:rsidRDefault="00477E8B" w:rsidP="00477E8B">
      <w:pPr>
        <w:jc w:val="both"/>
        <w:rPr>
          <w:b/>
        </w:rPr>
      </w:pPr>
    </w:p>
    <w:p w14:paraId="10209D06" w14:textId="77777777" w:rsidR="00477E8B" w:rsidRDefault="00477E8B" w:rsidP="00477E8B">
      <w:pPr>
        <w:jc w:val="both"/>
        <w:rPr>
          <w:b/>
        </w:rPr>
      </w:pPr>
    </w:p>
    <w:p w14:paraId="4E34A2F4" w14:textId="77777777" w:rsidR="00477E8B" w:rsidRDefault="00477E8B" w:rsidP="00477E8B">
      <w:pPr>
        <w:jc w:val="both"/>
        <w:rPr>
          <w:b/>
        </w:rPr>
      </w:pPr>
    </w:p>
    <w:p w14:paraId="545C582F" w14:textId="77777777" w:rsidR="00477E8B" w:rsidRDefault="00477E8B" w:rsidP="00477E8B">
      <w:pPr>
        <w:jc w:val="both"/>
        <w:rPr>
          <w:b/>
        </w:rPr>
      </w:pPr>
    </w:p>
    <w:p w14:paraId="75AFF257" w14:textId="3EB91C68" w:rsidR="00477E8B" w:rsidRDefault="00477E8B" w:rsidP="00477E8B">
      <w:pPr>
        <w:jc w:val="both"/>
        <w:rPr>
          <w:b/>
        </w:rPr>
      </w:pPr>
    </w:p>
    <w:p w14:paraId="5E83872A" w14:textId="76E537BD" w:rsidR="00560C3D" w:rsidRDefault="00560C3D" w:rsidP="00477E8B">
      <w:pPr>
        <w:jc w:val="both"/>
        <w:rPr>
          <w:b/>
        </w:rPr>
      </w:pPr>
    </w:p>
    <w:p w14:paraId="52983390" w14:textId="33FEF65A" w:rsidR="00560C3D" w:rsidRDefault="00560C3D" w:rsidP="00477E8B">
      <w:pPr>
        <w:jc w:val="both"/>
        <w:rPr>
          <w:b/>
        </w:rPr>
      </w:pPr>
    </w:p>
    <w:p w14:paraId="573DA8C5" w14:textId="77777777" w:rsidR="00560C3D" w:rsidRDefault="00560C3D" w:rsidP="00477E8B">
      <w:pPr>
        <w:jc w:val="both"/>
        <w:rPr>
          <w:b/>
        </w:rPr>
      </w:pPr>
    </w:p>
    <w:p w14:paraId="79F0E9B0" w14:textId="32EB7DEA" w:rsidR="00477E8B" w:rsidRDefault="00477E8B" w:rsidP="00477E8B">
      <w:pPr>
        <w:jc w:val="both"/>
        <w:rPr>
          <w:b/>
        </w:rPr>
      </w:pPr>
    </w:p>
    <w:p w14:paraId="0F4A3C8C" w14:textId="2E0185BA" w:rsidR="00986AEA" w:rsidRDefault="00986AEA" w:rsidP="00477E8B">
      <w:pPr>
        <w:jc w:val="both"/>
        <w:rPr>
          <w:b/>
        </w:rPr>
      </w:pPr>
    </w:p>
    <w:p w14:paraId="0B73F343" w14:textId="7A47F7C6" w:rsidR="00986AEA" w:rsidRDefault="00986AEA" w:rsidP="00477E8B">
      <w:pPr>
        <w:jc w:val="both"/>
        <w:rPr>
          <w:b/>
        </w:rPr>
      </w:pPr>
    </w:p>
    <w:p w14:paraId="35F96E1A" w14:textId="3D01A8FF" w:rsidR="00986AEA" w:rsidRDefault="00986AEA" w:rsidP="00477E8B">
      <w:pPr>
        <w:jc w:val="both"/>
        <w:rPr>
          <w:b/>
        </w:rPr>
      </w:pPr>
    </w:p>
    <w:p w14:paraId="03BD1868" w14:textId="085DF220" w:rsidR="00986AEA" w:rsidRDefault="00986AEA" w:rsidP="00477E8B">
      <w:pPr>
        <w:jc w:val="both"/>
        <w:rPr>
          <w:b/>
        </w:rPr>
      </w:pPr>
    </w:p>
    <w:p w14:paraId="171E6CC6" w14:textId="053FB5C9" w:rsidR="00986AEA" w:rsidRDefault="00986AEA" w:rsidP="00477E8B">
      <w:pPr>
        <w:jc w:val="both"/>
        <w:rPr>
          <w:b/>
        </w:rPr>
      </w:pPr>
    </w:p>
    <w:p w14:paraId="782D88ED" w14:textId="05EAF30C" w:rsidR="00986AEA" w:rsidRDefault="00986AEA" w:rsidP="00477E8B">
      <w:pPr>
        <w:jc w:val="both"/>
        <w:rPr>
          <w:b/>
        </w:rPr>
      </w:pPr>
    </w:p>
    <w:p w14:paraId="60BD4B23" w14:textId="03B39CD3" w:rsidR="00477E8B" w:rsidRPr="00D617CC" w:rsidRDefault="00477E8B" w:rsidP="00477E8B">
      <w:pPr>
        <w:jc w:val="both"/>
        <w:rPr>
          <w:b/>
        </w:rPr>
      </w:pPr>
      <w:r w:rsidRPr="00D617CC">
        <w:rPr>
          <w:b/>
        </w:rPr>
        <w:t xml:space="preserve">Pentru considerentele de mai sus, am elaborat proiectul de Hotărâre a Guvernului </w:t>
      </w:r>
      <w:r w:rsidR="00560C3D" w:rsidRPr="006E27E2">
        <w:rPr>
          <w:b/>
        </w:rPr>
        <w:t>pentru aprobarea scoaterii definitive din fondul forestier naţional a terenului în suprafaţă de 1,0517 ha, pentru aprobarea ocupării temporare pe o perioadă de 10 ani a terenului din fondul forestier național în suprafață de 146,0177 ha și pentru apr</w:t>
      </w:r>
      <w:bookmarkStart w:id="2" w:name="_GoBack"/>
      <w:bookmarkEnd w:id="2"/>
      <w:r w:rsidR="00560C3D" w:rsidRPr="006E27E2">
        <w:rPr>
          <w:b/>
        </w:rPr>
        <w:t>obarea ocupării temporare pentru o perioadă de 2 ani a terenului din fondul forestier național în suprafață de 4,3016 ha de către Compania Naţională de Transport al Energiei Electrice Transelectrica S.A., în vederea realizării obiectivului „Trecerea la tensiunea de 400 kV a axului Porțile de Fier-Reșița-Timișoara-Săcălaz-Arad/LEA 400 kV Porțile de Fier-Anina-Reșița”</w:t>
      </w:r>
      <w:r w:rsidRPr="00D617CC">
        <w:rPr>
          <w:b/>
        </w:rPr>
        <w:t>, care în forma prezentată a fost avizat de către ministerele interesate, pe care îl supunem spre adoptare.</w:t>
      </w:r>
    </w:p>
    <w:tbl>
      <w:tblPr>
        <w:tblW w:w="0" w:type="auto"/>
        <w:tblLook w:val="01E0" w:firstRow="1" w:lastRow="1" w:firstColumn="1" w:lastColumn="1" w:noHBand="0" w:noVBand="0"/>
      </w:tblPr>
      <w:tblGrid>
        <w:gridCol w:w="10476"/>
      </w:tblGrid>
      <w:tr w:rsidR="00477E8B" w:rsidRPr="00B370B1" w14:paraId="17AD89FB" w14:textId="77777777" w:rsidTr="00AA463A">
        <w:tc>
          <w:tcPr>
            <w:tcW w:w="10476" w:type="dxa"/>
          </w:tcPr>
          <w:p w14:paraId="58F87AC5" w14:textId="32207125" w:rsidR="00477E8B" w:rsidRDefault="00477E8B" w:rsidP="00AA463A">
            <w:pPr>
              <w:spacing w:before="209" w:after="105"/>
              <w:jc w:val="center"/>
              <w:rPr>
                <w:b/>
              </w:rPr>
            </w:pPr>
          </w:p>
          <w:p w14:paraId="33820A99" w14:textId="77777777" w:rsidR="00986AEA" w:rsidRDefault="00986AEA" w:rsidP="00AA463A">
            <w:pPr>
              <w:spacing w:before="209" w:after="105"/>
              <w:jc w:val="center"/>
              <w:rPr>
                <w:b/>
              </w:rPr>
            </w:pPr>
          </w:p>
          <w:p w14:paraId="4F8AB779" w14:textId="77777777" w:rsidR="00477E8B" w:rsidRPr="00B370B1" w:rsidRDefault="00477E8B" w:rsidP="00AA463A">
            <w:pPr>
              <w:spacing w:before="209" w:after="105"/>
              <w:jc w:val="center"/>
              <w:rPr>
                <w:b/>
              </w:rPr>
            </w:pPr>
            <w:r w:rsidRPr="00B370B1">
              <w:rPr>
                <w:b/>
              </w:rPr>
              <w:t>MINISTRUL</w:t>
            </w:r>
            <w:r>
              <w:rPr>
                <w:b/>
              </w:rPr>
              <w:t xml:space="preserve"> </w:t>
            </w:r>
            <w:r w:rsidRPr="00B370B1">
              <w:rPr>
                <w:b/>
              </w:rPr>
              <w:t>APELOR ŞI PĂDURILOR</w:t>
            </w:r>
          </w:p>
        </w:tc>
      </w:tr>
      <w:tr w:rsidR="00477E8B" w:rsidRPr="00B370B1" w14:paraId="40189D94" w14:textId="77777777" w:rsidTr="00AA463A">
        <w:tc>
          <w:tcPr>
            <w:tcW w:w="10476" w:type="dxa"/>
          </w:tcPr>
          <w:p w14:paraId="779320AC" w14:textId="77777777" w:rsidR="00477E8B" w:rsidRPr="00AC6B6D" w:rsidRDefault="00477E8B" w:rsidP="00AA463A">
            <w:pPr>
              <w:spacing w:before="209" w:after="105"/>
              <w:jc w:val="center"/>
              <w:rPr>
                <w:b/>
              </w:rPr>
            </w:pPr>
            <w:r w:rsidRPr="00AC6B6D">
              <w:rPr>
                <w:b/>
              </w:rPr>
              <w:t>Ioan DENEȘ</w:t>
            </w:r>
          </w:p>
          <w:p w14:paraId="6259530E" w14:textId="77777777" w:rsidR="00477E8B" w:rsidRPr="00AC6B6D" w:rsidRDefault="00477E8B" w:rsidP="00AA463A">
            <w:pPr>
              <w:spacing w:before="209" w:after="105"/>
              <w:jc w:val="center"/>
              <w:rPr>
                <w:b/>
              </w:rPr>
            </w:pPr>
          </w:p>
          <w:p w14:paraId="17D42192" w14:textId="1EDD5977" w:rsidR="00986AEA" w:rsidRPr="00B370B1" w:rsidRDefault="00986AEA" w:rsidP="00AA463A">
            <w:pPr>
              <w:spacing w:before="209" w:after="105"/>
              <w:jc w:val="center"/>
              <w:rPr>
                <w:b/>
              </w:rPr>
            </w:pPr>
          </w:p>
        </w:tc>
      </w:tr>
    </w:tbl>
    <w:p w14:paraId="0B6211CF" w14:textId="02CC253F" w:rsidR="00477E8B" w:rsidRDefault="00477E8B" w:rsidP="00477E8B">
      <w:pPr>
        <w:jc w:val="center"/>
        <w:rPr>
          <w:b/>
        </w:rPr>
      </w:pPr>
    </w:p>
    <w:p w14:paraId="6CBD8194" w14:textId="77777777" w:rsidR="00845FF9" w:rsidRPr="00B370B1" w:rsidRDefault="00845FF9" w:rsidP="00477E8B">
      <w:pPr>
        <w:jc w:val="center"/>
        <w:rPr>
          <w:b/>
        </w:rPr>
      </w:pPr>
    </w:p>
    <w:p w14:paraId="4C51D9E9" w14:textId="77777777" w:rsidR="00477E8B" w:rsidRPr="00EC3F30" w:rsidRDefault="00477E8B" w:rsidP="00477E8B">
      <w:pPr>
        <w:tabs>
          <w:tab w:val="left" w:pos="1276"/>
          <w:tab w:val="left" w:pos="4140"/>
        </w:tabs>
        <w:jc w:val="center"/>
        <w:rPr>
          <w:b/>
          <w:u w:val="single"/>
        </w:rPr>
      </w:pPr>
      <w:r w:rsidRPr="00EC3F30">
        <w:rPr>
          <w:b/>
          <w:u w:val="single"/>
        </w:rPr>
        <w:t>Avizăm favorabil:</w:t>
      </w:r>
    </w:p>
    <w:p w14:paraId="7B21A3D2" w14:textId="77777777" w:rsidR="00477E8B" w:rsidRDefault="00477E8B" w:rsidP="00477E8B">
      <w:pPr>
        <w:tabs>
          <w:tab w:val="left" w:pos="1276"/>
          <w:tab w:val="left" w:pos="4140"/>
        </w:tabs>
        <w:jc w:val="center"/>
        <w:rPr>
          <w:b/>
        </w:rPr>
      </w:pPr>
    </w:p>
    <w:p w14:paraId="5496A9DF" w14:textId="11E2C818" w:rsidR="00477E8B" w:rsidRDefault="00477E8B" w:rsidP="00477E8B">
      <w:pPr>
        <w:tabs>
          <w:tab w:val="left" w:pos="1276"/>
          <w:tab w:val="left" w:pos="4140"/>
        </w:tabs>
        <w:jc w:val="center"/>
        <w:rPr>
          <w:b/>
        </w:rPr>
      </w:pPr>
    </w:p>
    <w:p w14:paraId="4422EBA7" w14:textId="77777777" w:rsidR="00986AEA" w:rsidRPr="00896AA6" w:rsidRDefault="00986AEA" w:rsidP="00477E8B">
      <w:pPr>
        <w:tabs>
          <w:tab w:val="left" w:pos="1276"/>
          <w:tab w:val="left" w:pos="4140"/>
        </w:tabs>
        <w:jc w:val="center"/>
        <w:rPr>
          <w:b/>
        </w:rPr>
      </w:pPr>
    </w:p>
    <w:p w14:paraId="32FFB025" w14:textId="612B5E21" w:rsidR="00477E8B" w:rsidRPr="00DA3440" w:rsidRDefault="00477E8B" w:rsidP="00477E8B">
      <w:pPr>
        <w:spacing w:after="600" w:line="360" w:lineRule="auto"/>
        <w:ind w:right="-232"/>
        <w:rPr>
          <w:b/>
        </w:rPr>
      </w:pPr>
      <w:r>
        <w:rPr>
          <w:b/>
        </w:rPr>
        <w:t xml:space="preserve"> </w:t>
      </w:r>
      <w:r w:rsidR="00560C3D">
        <w:rPr>
          <w:b/>
        </w:rPr>
        <w:t xml:space="preserve">  </w:t>
      </w:r>
      <w:r>
        <w:rPr>
          <w:b/>
        </w:rPr>
        <w:t xml:space="preserve"> </w:t>
      </w:r>
      <w:r w:rsidR="00845FF9">
        <w:rPr>
          <w:b/>
        </w:rPr>
        <w:t xml:space="preserve">   </w:t>
      </w:r>
      <w:r w:rsidRPr="00DA3440">
        <w:rPr>
          <w:b/>
        </w:rPr>
        <w:t xml:space="preserve">MINISTRUL </w:t>
      </w:r>
      <w:r w:rsidR="00D66064">
        <w:rPr>
          <w:b/>
        </w:rPr>
        <w:t>ECONOMIEI</w:t>
      </w:r>
      <w:r w:rsidRPr="00DA3440">
        <w:rPr>
          <w:b/>
        </w:rPr>
        <w:tab/>
      </w:r>
      <w:r w:rsidRPr="00DA3440">
        <w:rPr>
          <w:b/>
        </w:rPr>
        <w:tab/>
      </w:r>
      <w:r w:rsidRPr="00DA3440">
        <w:rPr>
          <w:b/>
        </w:rPr>
        <w:tab/>
        <w:t xml:space="preserve">      </w:t>
      </w:r>
      <w:r w:rsidR="00560C3D">
        <w:rPr>
          <w:b/>
        </w:rPr>
        <w:t xml:space="preserve">     </w:t>
      </w:r>
      <w:r w:rsidRPr="00DA3440">
        <w:rPr>
          <w:b/>
        </w:rPr>
        <w:t>VICEPRIM-MINISTRU, MINISTRUL MEDIULUI</w:t>
      </w:r>
    </w:p>
    <w:p w14:paraId="16155702" w14:textId="629554A5" w:rsidR="00477E8B" w:rsidRPr="00DA3440" w:rsidRDefault="00477E8B" w:rsidP="00477E8B">
      <w:pPr>
        <w:spacing w:after="600" w:line="360" w:lineRule="auto"/>
        <w:ind w:right="-232"/>
        <w:rPr>
          <w:b/>
        </w:rPr>
      </w:pPr>
      <w:r w:rsidRPr="00DA3440">
        <w:rPr>
          <w:b/>
        </w:rPr>
        <w:t xml:space="preserve">  </w:t>
      </w:r>
      <w:r>
        <w:rPr>
          <w:b/>
        </w:rPr>
        <w:t xml:space="preserve">    </w:t>
      </w:r>
      <w:r w:rsidR="00845FF9">
        <w:rPr>
          <w:b/>
        </w:rPr>
        <w:t xml:space="preserve"> </w:t>
      </w:r>
      <w:r>
        <w:rPr>
          <w:b/>
        </w:rPr>
        <w:t xml:space="preserve">    </w:t>
      </w:r>
      <w:r w:rsidR="00560C3D">
        <w:rPr>
          <w:b/>
        </w:rPr>
        <w:t xml:space="preserve"> </w:t>
      </w:r>
      <w:r w:rsidR="00845FF9">
        <w:rPr>
          <w:b/>
        </w:rPr>
        <w:t xml:space="preserve"> </w:t>
      </w:r>
      <w:r w:rsidR="00560C3D">
        <w:rPr>
          <w:b/>
        </w:rPr>
        <w:t xml:space="preserve"> </w:t>
      </w:r>
      <w:r w:rsidR="004A77DA">
        <w:rPr>
          <w:b/>
        </w:rPr>
        <w:t>Nic</w:t>
      </w:r>
      <w:r w:rsidR="00C14DDB">
        <w:rPr>
          <w:b/>
        </w:rPr>
        <w:t>u</w:t>
      </w:r>
      <w:r w:rsidR="004A77DA">
        <w:rPr>
          <w:b/>
        </w:rPr>
        <w:t>lae BĂDĂLĂU</w:t>
      </w:r>
      <w:r>
        <w:rPr>
          <w:b/>
        </w:rPr>
        <w:tab/>
      </w:r>
      <w:r>
        <w:rPr>
          <w:b/>
        </w:rPr>
        <w:tab/>
      </w:r>
      <w:r>
        <w:rPr>
          <w:b/>
        </w:rPr>
        <w:tab/>
      </w:r>
      <w:r>
        <w:rPr>
          <w:b/>
        </w:rPr>
        <w:tab/>
        <w:t xml:space="preserve">          </w:t>
      </w:r>
      <w:r w:rsidR="00560C3D">
        <w:rPr>
          <w:b/>
        </w:rPr>
        <w:t xml:space="preserve">     </w:t>
      </w:r>
      <w:r w:rsidRPr="00DA3440">
        <w:rPr>
          <w:b/>
        </w:rPr>
        <w:t>Grațiela Leocadia GAVRILESCU</w:t>
      </w:r>
    </w:p>
    <w:p w14:paraId="4BB799DA" w14:textId="0B7EF3F7" w:rsidR="00477E8B" w:rsidRDefault="00477E8B" w:rsidP="00477E8B">
      <w:pPr>
        <w:spacing w:line="360" w:lineRule="auto"/>
        <w:rPr>
          <w:b/>
        </w:rPr>
      </w:pPr>
      <w:r w:rsidRPr="00DA3440">
        <w:rPr>
          <w:b/>
        </w:rPr>
        <w:tab/>
      </w:r>
      <w:r w:rsidRPr="00DA3440">
        <w:rPr>
          <w:b/>
        </w:rPr>
        <w:tab/>
      </w:r>
      <w:r w:rsidRPr="00DA3440">
        <w:rPr>
          <w:b/>
        </w:rPr>
        <w:tab/>
      </w:r>
    </w:p>
    <w:p w14:paraId="5D962DE4" w14:textId="77777777" w:rsidR="00477E8B" w:rsidRPr="00DA3440" w:rsidRDefault="00477E8B" w:rsidP="00477E8B">
      <w:pPr>
        <w:spacing w:line="360" w:lineRule="auto"/>
        <w:ind w:left="-567"/>
        <w:rPr>
          <w:b/>
        </w:rPr>
      </w:pPr>
    </w:p>
    <w:p w14:paraId="656B5AAB" w14:textId="5E225337" w:rsidR="00477E8B" w:rsidRPr="00DA3440" w:rsidRDefault="00477E8B" w:rsidP="00477E8B">
      <w:pPr>
        <w:spacing w:after="600" w:line="360" w:lineRule="auto"/>
        <w:ind w:left="-567"/>
        <w:rPr>
          <w:b/>
        </w:rPr>
      </w:pPr>
      <w:r>
        <w:rPr>
          <w:b/>
        </w:rPr>
        <w:t xml:space="preserve">    </w:t>
      </w:r>
      <w:r w:rsidR="00845FF9">
        <w:rPr>
          <w:b/>
        </w:rPr>
        <w:t xml:space="preserve">     </w:t>
      </w:r>
      <w:r w:rsidRPr="00DA3440">
        <w:rPr>
          <w:b/>
        </w:rPr>
        <w:t>MINISTRUL FINANȚELOR PUBLICE</w:t>
      </w:r>
      <w:r w:rsidRPr="00DA3440">
        <w:rPr>
          <w:b/>
        </w:rPr>
        <w:tab/>
      </w:r>
      <w:r w:rsidRPr="00DA3440">
        <w:rPr>
          <w:b/>
        </w:rPr>
        <w:tab/>
      </w:r>
      <w:r w:rsidRPr="00DA3440">
        <w:rPr>
          <w:b/>
        </w:rPr>
        <w:tab/>
      </w:r>
      <w:r>
        <w:rPr>
          <w:b/>
        </w:rPr>
        <w:t xml:space="preserve">            </w:t>
      </w:r>
      <w:r w:rsidR="00560C3D">
        <w:rPr>
          <w:b/>
        </w:rPr>
        <w:t xml:space="preserve">          </w:t>
      </w:r>
      <w:r>
        <w:rPr>
          <w:b/>
        </w:rPr>
        <w:t>MINISTRUL JUSTIȚ</w:t>
      </w:r>
      <w:r w:rsidRPr="00DA3440">
        <w:rPr>
          <w:b/>
        </w:rPr>
        <w:t>IEI</w:t>
      </w:r>
    </w:p>
    <w:p w14:paraId="62823FF7" w14:textId="65DF3BD2" w:rsidR="00477E8B" w:rsidRPr="00DA3440" w:rsidRDefault="00477E8B" w:rsidP="00477E8B">
      <w:pPr>
        <w:spacing w:after="600" w:line="360" w:lineRule="auto"/>
        <w:ind w:left="-567"/>
        <w:rPr>
          <w:b/>
        </w:rPr>
      </w:pPr>
      <w:r>
        <w:rPr>
          <w:b/>
        </w:rPr>
        <w:t xml:space="preserve">     </w:t>
      </w:r>
      <w:r w:rsidR="00845FF9">
        <w:rPr>
          <w:b/>
        </w:rPr>
        <w:t xml:space="preserve"> </w:t>
      </w:r>
      <w:r>
        <w:rPr>
          <w:b/>
        </w:rPr>
        <w:t xml:space="preserve">      </w:t>
      </w:r>
      <w:r w:rsidR="00845FF9">
        <w:rPr>
          <w:b/>
        </w:rPr>
        <w:t xml:space="preserve">    </w:t>
      </w:r>
      <w:r w:rsidRPr="00DA3440">
        <w:rPr>
          <w:b/>
        </w:rPr>
        <w:t>Eu</w:t>
      </w:r>
      <w:r>
        <w:rPr>
          <w:b/>
        </w:rPr>
        <w:t>gen Orlando TEODOROVICI</w:t>
      </w:r>
      <w:r>
        <w:rPr>
          <w:b/>
        </w:rPr>
        <w:tab/>
      </w:r>
      <w:r>
        <w:rPr>
          <w:b/>
        </w:rPr>
        <w:tab/>
      </w:r>
      <w:r>
        <w:rPr>
          <w:b/>
        </w:rPr>
        <w:tab/>
        <w:t xml:space="preserve">                  </w:t>
      </w:r>
      <w:r w:rsidR="00560C3D">
        <w:rPr>
          <w:b/>
        </w:rPr>
        <w:t xml:space="preserve">        </w:t>
      </w:r>
      <w:r w:rsidR="00845FF9">
        <w:rPr>
          <w:b/>
        </w:rPr>
        <w:t xml:space="preserve"> </w:t>
      </w:r>
      <w:r w:rsidR="00560C3D">
        <w:rPr>
          <w:b/>
        </w:rPr>
        <w:t xml:space="preserve"> </w:t>
      </w:r>
      <w:r w:rsidRPr="00DA3440">
        <w:rPr>
          <w:b/>
        </w:rPr>
        <w:t>Tudorel TOADER</w:t>
      </w:r>
    </w:p>
    <w:p w14:paraId="39DCCB82" w14:textId="56CB0893" w:rsidR="00477E8B" w:rsidRDefault="00477E8B" w:rsidP="00477E8B"/>
    <w:p w14:paraId="4614E51D" w14:textId="77777777" w:rsidR="00845FF9" w:rsidRDefault="00845FF9" w:rsidP="00477E8B"/>
    <w:p w14:paraId="6727382D" w14:textId="77777777" w:rsidR="00D161C1" w:rsidRDefault="00845FF9" w:rsidP="00D161C1">
      <w:pPr>
        <w:ind w:firstLine="180"/>
        <w:rPr>
          <w:b/>
        </w:rPr>
      </w:pPr>
      <w:r w:rsidRPr="00DA3440">
        <w:rPr>
          <w:b/>
        </w:rPr>
        <w:t xml:space="preserve">VICEPRIM-MINISTRU, MINISTRUL </w:t>
      </w:r>
    </w:p>
    <w:p w14:paraId="4B0DAFE6" w14:textId="109BB84F" w:rsidR="00D161C1" w:rsidRDefault="00D161C1" w:rsidP="00D161C1">
      <w:pPr>
        <w:ind w:firstLine="180"/>
        <w:rPr>
          <w:b/>
        </w:rPr>
      </w:pPr>
      <w:r>
        <w:rPr>
          <w:b/>
        </w:rPr>
        <w:t xml:space="preserve">   </w:t>
      </w:r>
      <w:r w:rsidR="00845FF9">
        <w:rPr>
          <w:b/>
        </w:rPr>
        <w:t xml:space="preserve">DEZVOLTĂRII  </w:t>
      </w:r>
      <w:r w:rsidR="00845FF9" w:rsidRPr="00845FF9">
        <w:rPr>
          <w:b/>
        </w:rPr>
        <w:t xml:space="preserve">REGIONALE ȘI </w:t>
      </w:r>
    </w:p>
    <w:p w14:paraId="0BE64BA3" w14:textId="351772BF" w:rsidR="00FE766C" w:rsidRDefault="00D161C1" w:rsidP="00D161C1">
      <w:pPr>
        <w:ind w:firstLine="180"/>
        <w:rPr>
          <w:b/>
        </w:rPr>
      </w:pPr>
      <w:r>
        <w:rPr>
          <w:b/>
        </w:rPr>
        <w:t xml:space="preserve">       A</w:t>
      </w:r>
      <w:r w:rsidR="00845FF9" w:rsidRPr="00845FF9">
        <w:rPr>
          <w:b/>
        </w:rPr>
        <w:t>DMINISTRAȚIEI PUBLICE</w:t>
      </w:r>
    </w:p>
    <w:p w14:paraId="38429A40" w14:textId="6E2453A7" w:rsidR="00845FF9" w:rsidRDefault="00845FF9" w:rsidP="00845FF9">
      <w:pPr>
        <w:ind w:hanging="360"/>
        <w:rPr>
          <w:b/>
        </w:rPr>
      </w:pPr>
    </w:p>
    <w:p w14:paraId="02AA15AC" w14:textId="3D21049A" w:rsidR="00845FF9" w:rsidRDefault="00845FF9" w:rsidP="00845FF9">
      <w:pPr>
        <w:ind w:hanging="360"/>
        <w:rPr>
          <w:b/>
        </w:rPr>
      </w:pPr>
    </w:p>
    <w:p w14:paraId="36BA5FD6" w14:textId="77777777" w:rsidR="00845FF9" w:rsidRDefault="00845FF9" w:rsidP="00845FF9">
      <w:pPr>
        <w:ind w:hanging="360"/>
        <w:rPr>
          <w:b/>
        </w:rPr>
      </w:pPr>
    </w:p>
    <w:p w14:paraId="02D99949" w14:textId="5BEBBC6B" w:rsidR="00845FF9" w:rsidRPr="00845FF9" w:rsidRDefault="00845FF9" w:rsidP="00845FF9">
      <w:pPr>
        <w:ind w:left="1170"/>
        <w:rPr>
          <w:b/>
        </w:rPr>
      </w:pPr>
    </w:p>
    <w:sectPr w:rsidR="00845FF9" w:rsidRPr="00845FF9" w:rsidSect="001F35CB">
      <w:footerReference w:type="even" r:id="rId9"/>
      <w:footerReference w:type="default" r:id="rId10"/>
      <w:pgSz w:w="11909" w:h="16834" w:code="9"/>
      <w:pgMar w:top="720" w:right="562" w:bottom="450" w:left="56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D878" w14:textId="77777777" w:rsidR="00BF0C55" w:rsidRDefault="00BF0C55">
      <w:r>
        <w:separator/>
      </w:r>
    </w:p>
  </w:endnote>
  <w:endnote w:type="continuationSeparator" w:id="0">
    <w:p w14:paraId="78F92773" w14:textId="77777777" w:rsidR="00BF0C55" w:rsidRDefault="00BF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D72D" w14:textId="77777777" w:rsidR="00EF4E06" w:rsidRDefault="007C0A6B" w:rsidP="00F32F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E0BDF9" w14:textId="77777777" w:rsidR="00EF4E06" w:rsidRDefault="00BF0C55" w:rsidP="00F32F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3DF7" w14:textId="77777777" w:rsidR="00EF4E06" w:rsidRDefault="00BF0C55" w:rsidP="00F32F30">
    <w:pPr>
      <w:pStyle w:val="Footer"/>
      <w:framePr w:wrap="around" w:vAnchor="text" w:hAnchor="margin" w:xAlign="center" w:y="1"/>
      <w:ind w:right="360"/>
      <w:rPr>
        <w:rStyle w:val="PageNumber"/>
      </w:rPr>
    </w:pPr>
  </w:p>
  <w:p w14:paraId="6711187A" w14:textId="77777777" w:rsidR="00EF4E06" w:rsidRDefault="00BF0C55" w:rsidP="00F32F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D653" w14:textId="77777777" w:rsidR="00BF0C55" w:rsidRDefault="00BF0C55">
      <w:r>
        <w:separator/>
      </w:r>
    </w:p>
  </w:footnote>
  <w:footnote w:type="continuationSeparator" w:id="0">
    <w:p w14:paraId="6B3F3E46" w14:textId="77777777" w:rsidR="00BF0C55" w:rsidRDefault="00BF0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40AD"/>
    <w:multiLevelType w:val="hybridMultilevel"/>
    <w:tmpl w:val="574A1190"/>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EB61B8"/>
    <w:multiLevelType w:val="hybridMultilevel"/>
    <w:tmpl w:val="4D0AC876"/>
    <w:lvl w:ilvl="0" w:tplc="04180001">
      <w:start w:val="1"/>
      <w:numFmt w:val="bullet"/>
      <w:lvlText w:val=""/>
      <w:lvlJc w:val="left"/>
      <w:pPr>
        <w:ind w:left="1223" w:hanging="360"/>
      </w:pPr>
      <w:rPr>
        <w:rFonts w:ascii="Symbol" w:hAnsi="Symbol" w:hint="default"/>
      </w:rPr>
    </w:lvl>
    <w:lvl w:ilvl="1" w:tplc="04180003" w:tentative="1">
      <w:start w:val="1"/>
      <w:numFmt w:val="bullet"/>
      <w:lvlText w:val="o"/>
      <w:lvlJc w:val="left"/>
      <w:pPr>
        <w:ind w:left="1943" w:hanging="360"/>
      </w:pPr>
      <w:rPr>
        <w:rFonts w:ascii="Courier New" w:hAnsi="Courier New" w:cs="Courier New" w:hint="default"/>
      </w:rPr>
    </w:lvl>
    <w:lvl w:ilvl="2" w:tplc="04180005" w:tentative="1">
      <w:start w:val="1"/>
      <w:numFmt w:val="bullet"/>
      <w:lvlText w:val=""/>
      <w:lvlJc w:val="left"/>
      <w:pPr>
        <w:ind w:left="2663" w:hanging="360"/>
      </w:pPr>
      <w:rPr>
        <w:rFonts w:ascii="Wingdings" w:hAnsi="Wingdings" w:hint="default"/>
      </w:rPr>
    </w:lvl>
    <w:lvl w:ilvl="3" w:tplc="04180001" w:tentative="1">
      <w:start w:val="1"/>
      <w:numFmt w:val="bullet"/>
      <w:lvlText w:val=""/>
      <w:lvlJc w:val="left"/>
      <w:pPr>
        <w:ind w:left="3383" w:hanging="360"/>
      </w:pPr>
      <w:rPr>
        <w:rFonts w:ascii="Symbol" w:hAnsi="Symbol" w:hint="default"/>
      </w:rPr>
    </w:lvl>
    <w:lvl w:ilvl="4" w:tplc="04180003" w:tentative="1">
      <w:start w:val="1"/>
      <w:numFmt w:val="bullet"/>
      <w:lvlText w:val="o"/>
      <w:lvlJc w:val="left"/>
      <w:pPr>
        <w:ind w:left="4103" w:hanging="360"/>
      </w:pPr>
      <w:rPr>
        <w:rFonts w:ascii="Courier New" w:hAnsi="Courier New" w:cs="Courier New" w:hint="default"/>
      </w:rPr>
    </w:lvl>
    <w:lvl w:ilvl="5" w:tplc="04180005" w:tentative="1">
      <w:start w:val="1"/>
      <w:numFmt w:val="bullet"/>
      <w:lvlText w:val=""/>
      <w:lvlJc w:val="left"/>
      <w:pPr>
        <w:ind w:left="4823" w:hanging="360"/>
      </w:pPr>
      <w:rPr>
        <w:rFonts w:ascii="Wingdings" w:hAnsi="Wingdings" w:hint="default"/>
      </w:rPr>
    </w:lvl>
    <w:lvl w:ilvl="6" w:tplc="04180001" w:tentative="1">
      <w:start w:val="1"/>
      <w:numFmt w:val="bullet"/>
      <w:lvlText w:val=""/>
      <w:lvlJc w:val="left"/>
      <w:pPr>
        <w:ind w:left="5543" w:hanging="360"/>
      </w:pPr>
      <w:rPr>
        <w:rFonts w:ascii="Symbol" w:hAnsi="Symbol" w:hint="default"/>
      </w:rPr>
    </w:lvl>
    <w:lvl w:ilvl="7" w:tplc="04180003" w:tentative="1">
      <w:start w:val="1"/>
      <w:numFmt w:val="bullet"/>
      <w:lvlText w:val="o"/>
      <w:lvlJc w:val="left"/>
      <w:pPr>
        <w:ind w:left="6263" w:hanging="360"/>
      </w:pPr>
      <w:rPr>
        <w:rFonts w:ascii="Courier New" w:hAnsi="Courier New" w:cs="Courier New" w:hint="default"/>
      </w:rPr>
    </w:lvl>
    <w:lvl w:ilvl="8" w:tplc="04180005" w:tentative="1">
      <w:start w:val="1"/>
      <w:numFmt w:val="bullet"/>
      <w:lvlText w:val=""/>
      <w:lvlJc w:val="left"/>
      <w:pPr>
        <w:ind w:left="6983" w:hanging="360"/>
      </w:pPr>
      <w:rPr>
        <w:rFonts w:ascii="Wingdings" w:hAnsi="Wingdings" w:hint="default"/>
      </w:rPr>
    </w:lvl>
  </w:abstractNum>
  <w:abstractNum w:abstractNumId="3" w15:restartNumberingAfterBreak="0">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63B7E69"/>
    <w:multiLevelType w:val="hybridMultilevel"/>
    <w:tmpl w:val="E3D61E36"/>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AFE31E3"/>
    <w:multiLevelType w:val="hybridMultilevel"/>
    <w:tmpl w:val="1264F0D4"/>
    <w:lvl w:ilvl="0" w:tplc="04180005">
      <w:start w:val="1"/>
      <w:numFmt w:val="bullet"/>
      <w:lvlText w:val=""/>
      <w:lvlJc w:val="left"/>
      <w:pPr>
        <w:ind w:left="1505" w:hanging="360"/>
      </w:pPr>
      <w:rPr>
        <w:rFonts w:ascii="Wingdings" w:hAnsi="Wingdings" w:hint="default"/>
      </w:rPr>
    </w:lvl>
    <w:lvl w:ilvl="1" w:tplc="04180003" w:tentative="1">
      <w:start w:val="1"/>
      <w:numFmt w:val="bullet"/>
      <w:lvlText w:val="o"/>
      <w:lvlJc w:val="left"/>
      <w:pPr>
        <w:ind w:left="2225" w:hanging="360"/>
      </w:pPr>
      <w:rPr>
        <w:rFonts w:ascii="Courier New" w:hAnsi="Courier New" w:cs="Courier New" w:hint="default"/>
      </w:rPr>
    </w:lvl>
    <w:lvl w:ilvl="2" w:tplc="04180005" w:tentative="1">
      <w:start w:val="1"/>
      <w:numFmt w:val="bullet"/>
      <w:lvlText w:val=""/>
      <w:lvlJc w:val="left"/>
      <w:pPr>
        <w:ind w:left="2945" w:hanging="360"/>
      </w:pPr>
      <w:rPr>
        <w:rFonts w:ascii="Wingdings" w:hAnsi="Wingdings" w:hint="default"/>
      </w:rPr>
    </w:lvl>
    <w:lvl w:ilvl="3" w:tplc="04180001" w:tentative="1">
      <w:start w:val="1"/>
      <w:numFmt w:val="bullet"/>
      <w:lvlText w:val=""/>
      <w:lvlJc w:val="left"/>
      <w:pPr>
        <w:ind w:left="3665" w:hanging="360"/>
      </w:pPr>
      <w:rPr>
        <w:rFonts w:ascii="Symbol" w:hAnsi="Symbol" w:hint="default"/>
      </w:rPr>
    </w:lvl>
    <w:lvl w:ilvl="4" w:tplc="04180003" w:tentative="1">
      <w:start w:val="1"/>
      <w:numFmt w:val="bullet"/>
      <w:lvlText w:val="o"/>
      <w:lvlJc w:val="left"/>
      <w:pPr>
        <w:ind w:left="4385" w:hanging="360"/>
      </w:pPr>
      <w:rPr>
        <w:rFonts w:ascii="Courier New" w:hAnsi="Courier New" w:cs="Courier New" w:hint="default"/>
      </w:rPr>
    </w:lvl>
    <w:lvl w:ilvl="5" w:tplc="04180005" w:tentative="1">
      <w:start w:val="1"/>
      <w:numFmt w:val="bullet"/>
      <w:lvlText w:val=""/>
      <w:lvlJc w:val="left"/>
      <w:pPr>
        <w:ind w:left="5105" w:hanging="360"/>
      </w:pPr>
      <w:rPr>
        <w:rFonts w:ascii="Wingdings" w:hAnsi="Wingdings" w:hint="default"/>
      </w:rPr>
    </w:lvl>
    <w:lvl w:ilvl="6" w:tplc="04180001" w:tentative="1">
      <w:start w:val="1"/>
      <w:numFmt w:val="bullet"/>
      <w:lvlText w:val=""/>
      <w:lvlJc w:val="left"/>
      <w:pPr>
        <w:ind w:left="5825" w:hanging="360"/>
      </w:pPr>
      <w:rPr>
        <w:rFonts w:ascii="Symbol" w:hAnsi="Symbol" w:hint="default"/>
      </w:rPr>
    </w:lvl>
    <w:lvl w:ilvl="7" w:tplc="04180003" w:tentative="1">
      <w:start w:val="1"/>
      <w:numFmt w:val="bullet"/>
      <w:lvlText w:val="o"/>
      <w:lvlJc w:val="left"/>
      <w:pPr>
        <w:ind w:left="6545" w:hanging="360"/>
      </w:pPr>
      <w:rPr>
        <w:rFonts w:ascii="Courier New" w:hAnsi="Courier New" w:cs="Courier New" w:hint="default"/>
      </w:rPr>
    </w:lvl>
    <w:lvl w:ilvl="8" w:tplc="04180005" w:tentative="1">
      <w:start w:val="1"/>
      <w:numFmt w:val="bullet"/>
      <w:lvlText w:val=""/>
      <w:lvlJc w:val="left"/>
      <w:pPr>
        <w:ind w:left="7265" w:hanging="360"/>
      </w:pPr>
      <w:rPr>
        <w:rFonts w:ascii="Wingdings" w:hAnsi="Wingdings" w:hint="default"/>
      </w:rPr>
    </w:lvl>
  </w:abstractNum>
  <w:abstractNum w:abstractNumId="6" w15:restartNumberingAfterBreak="0">
    <w:nsid w:val="1FB63AA6"/>
    <w:multiLevelType w:val="hybridMultilevel"/>
    <w:tmpl w:val="A6825BEA"/>
    <w:lvl w:ilvl="0" w:tplc="838E539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AA5AA1"/>
    <w:multiLevelType w:val="hybridMultilevel"/>
    <w:tmpl w:val="34260DDE"/>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9" w15:restartNumberingAfterBreak="0">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742FB6"/>
    <w:multiLevelType w:val="hybridMultilevel"/>
    <w:tmpl w:val="292A8BDA"/>
    <w:lvl w:ilvl="0" w:tplc="42EA7C62">
      <w:start w:val="1"/>
      <w:numFmt w:val="decimal"/>
      <w:lvlText w:val="(%1)"/>
      <w:lvlJc w:val="left"/>
      <w:pPr>
        <w:ind w:left="1920" w:hanging="360"/>
      </w:pPr>
      <w:rPr>
        <w:rFonts w:hint="default"/>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2" w15:restartNumberingAfterBreak="0">
    <w:nsid w:val="3F5F5A08"/>
    <w:multiLevelType w:val="hybridMultilevel"/>
    <w:tmpl w:val="CE34185E"/>
    <w:lvl w:ilvl="0" w:tplc="55F03F54">
      <w:start w:val="1"/>
      <w:numFmt w:val="lowerLetter"/>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3" w15:restartNumberingAfterBreak="0">
    <w:nsid w:val="3FBA118E"/>
    <w:multiLevelType w:val="hybridMultilevel"/>
    <w:tmpl w:val="107472FE"/>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4153E"/>
    <w:multiLevelType w:val="hybridMultilevel"/>
    <w:tmpl w:val="73864E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BA0B9B"/>
    <w:multiLevelType w:val="hybridMultilevel"/>
    <w:tmpl w:val="8440FD3E"/>
    <w:lvl w:ilvl="0" w:tplc="FFFFFFFF">
      <w:start w:val="3"/>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E2877A0"/>
    <w:multiLevelType w:val="hybridMultilevel"/>
    <w:tmpl w:val="E4F40742"/>
    <w:lvl w:ilvl="0" w:tplc="D3088D06">
      <w:start w:val="1"/>
      <w:numFmt w:val="lowerLetter"/>
      <w:lvlText w:val="%1)"/>
      <w:lvlJc w:val="left"/>
      <w:pPr>
        <w:ind w:left="1133" w:hanging="360"/>
      </w:pPr>
      <w:rPr>
        <w:rFonts w:ascii="Times New Roman" w:eastAsia="Times New Roman" w:hAnsi="Times New Roman" w:cs="Times New Roman"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8" w15:restartNumberingAfterBreak="0">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12"/>
  </w:num>
  <w:num w:numId="2">
    <w:abstractNumId w:val="3"/>
  </w:num>
  <w:num w:numId="3">
    <w:abstractNumId w:val="14"/>
  </w:num>
  <w:num w:numId="4">
    <w:abstractNumId w:val="10"/>
  </w:num>
  <w:num w:numId="5">
    <w:abstractNumId w:val="7"/>
  </w:num>
  <w:num w:numId="6">
    <w:abstractNumId w:val="13"/>
  </w:num>
  <w:num w:numId="7">
    <w:abstractNumId w:val="1"/>
  </w:num>
  <w:num w:numId="8">
    <w:abstractNumId w:val="9"/>
  </w:num>
  <w:num w:numId="9">
    <w:abstractNumId w:val="18"/>
  </w:num>
  <w:num w:numId="10">
    <w:abstractNumId w:val="2"/>
  </w:num>
  <w:num w:numId="11">
    <w:abstractNumId w:val="5"/>
  </w:num>
  <w:num w:numId="12">
    <w:abstractNumId w:val="8"/>
  </w:num>
  <w:num w:numId="13">
    <w:abstractNumId w:val="17"/>
  </w:num>
  <w:num w:numId="14">
    <w:abstractNumId w:val="15"/>
  </w:num>
  <w:num w:numId="15">
    <w:abstractNumId w:val="4"/>
  </w:num>
  <w:num w:numId="16">
    <w:abstractNumId w:val="0"/>
  </w:num>
  <w:num w:numId="17">
    <w:abstractNumId w:val="6"/>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39"/>
    <w:rsid w:val="00062F85"/>
    <w:rsid w:val="00082B6A"/>
    <w:rsid w:val="00094196"/>
    <w:rsid w:val="000B0564"/>
    <w:rsid w:val="000D2704"/>
    <w:rsid w:val="001435E2"/>
    <w:rsid w:val="0015786B"/>
    <w:rsid w:val="001615CD"/>
    <w:rsid w:val="00191E1B"/>
    <w:rsid w:val="001D30F3"/>
    <w:rsid w:val="001F35CB"/>
    <w:rsid w:val="002509E4"/>
    <w:rsid w:val="00264DBA"/>
    <w:rsid w:val="002F528A"/>
    <w:rsid w:val="00372C77"/>
    <w:rsid w:val="003A25AA"/>
    <w:rsid w:val="00402CB9"/>
    <w:rsid w:val="00413466"/>
    <w:rsid w:val="00440246"/>
    <w:rsid w:val="00477E8B"/>
    <w:rsid w:val="004A77DA"/>
    <w:rsid w:val="004E7A9C"/>
    <w:rsid w:val="0051361C"/>
    <w:rsid w:val="00560C3D"/>
    <w:rsid w:val="005925E7"/>
    <w:rsid w:val="005E26F2"/>
    <w:rsid w:val="006467CD"/>
    <w:rsid w:val="00653DB3"/>
    <w:rsid w:val="006A1A4B"/>
    <w:rsid w:val="006E27E2"/>
    <w:rsid w:val="00733E6C"/>
    <w:rsid w:val="00740185"/>
    <w:rsid w:val="00775B9F"/>
    <w:rsid w:val="007C0A6B"/>
    <w:rsid w:val="007E222E"/>
    <w:rsid w:val="0081501B"/>
    <w:rsid w:val="008178BC"/>
    <w:rsid w:val="00841C76"/>
    <w:rsid w:val="00845FF9"/>
    <w:rsid w:val="00863352"/>
    <w:rsid w:val="008B1DA9"/>
    <w:rsid w:val="008D1471"/>
    <w:rsid w:val="009161E4"/>
    <w:rsid w:val="009819A7"/>
    <w:rsid w:val="00986AEA"/>
    <w:rsid w:val="009A08EC"/>
    <w:rsid w:val="009A586A"/>
    <w:rsid w:val="009D7E39"/>
    <w:rsid w:val="00A125C2"/>
    <w:rsid w:val="00A641C1"/>
    <w:rsid w:val="00A81262"/>
    <w:rsid w:val="00A91050"/>
    <w:rsid w:val="00A928AE"/>
    <w:rsid w:val="00AB4FB8"/>
    <w:rsid w:val="00AE463B"/>
    <w:rsid w:val="00AF6BF0"/>
    <w:rsid w:val="00B76A0D"/>
    <w:rsid w:val="00BA4601"/>
    <w:rsid w:val="00BF0C55"/>
    <w:rsid w:val="00C14DDB"/>
    <w:rsid w:val="00C252DD"/>
    <w:rsid w:val="00C915F4"/>
    <w:rsid w:val="00CC5EF7"/>
    <w:rsid w:val="00D161C1"/>
    <w:rsid w:val="00D23519"/>
    <w:rsid w:val="00D66064"/>
    <w:rsid w:val="00D74FFE"/>
    <w:rsid w:val="00DA3BEF"/>
    <w:rsid w:val="00DC14E1"/>
    <w:rsid w:val="00DE58C7"/>
    <w:rsid w:val="00DE5C16"/>
    <w:rsid w:val="00E477F0"/>
    <w:rsid w:val="00E615A9"/>
    <w:rsid w:val="00EE63F6"/>
    <w:rsid w:val="00F06DFC"/>
    <w:rsid w:val="00F31F99"/>
    <w:rsid w:val="00F60513"/>
    <w:rsid w:val="00F75A62"/>
    <w:rsid w:val="00FE766C"/>
    <w:rsid w:val="00FF357C"/>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82EB"/>
  <w15:chartTrackingRefBased/>
  <w15:docId w15:val="{6367DF61-5805-4BB2-9674-7353449E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E3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D7E3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D7E39"/>
    <w:rPr>
      <w:rFonts w:asciiTheme="majorHAnsi" w:eastAsiaTheme="majorEastAsia" w:hAnsiTheme="majorHAnsi" w:cstheme="majorBidi"/>
      <w:b/>
      <w:bCs/>
      <w:color w:val="4472C4" w:themeColor="accent1"/>
      <w:sz w:val="24"/>
      <w:szCs w:val="24"/>
    </w:rPr>
  </w:style>
  <w:style w:type="paragraph" w:styleId="BodyTextIndent">
    <w:name w:val="Body Text Indent"/>
    <w:basedOn w:val="Normal"/>
    <w:link w:val="BodyTextIndentChar"/>
    <w:rsid w:val="009D7E39"/>
    <w:pPr>
      <w:spacing w:after="120"/>
      <w:ind w:left="283"/>
    </w:pPr>
  </w:style>
  <w:style w:type="character" w:customStyle="1" w:styleId="BodyTextIndentChar">
    <w:name w:val="Body Text Indent Char"/>
    <w:basedOn w:val="DefaultParagraphFont"/>
    <w:link w:val="BodyTextIndent"/>
    <w:rsid w:val="009D7E39"/>
    <w:rPr>
      <w:rFonts w:ascii="Times New Roman" w:eastAsia="Times New Roman" w:hAnsi="Times New Roman" w:cs="Times New Roman"/>
      <w:sz w:val="24"/>
      <w:szCs w:val="24"/>
    </w:rPr>
  </w:style>
  <w:style w:type="table" w:styleId="TableGrid">
    <w:name w:val="Table Grid"/>
    <w:basedOn w:val="TableNormal"/>
    <w:rsid w:val="009D7E3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D7E39"/>
    <w:pPr>
      <w:tabs>
        <w:tab w:val="center" w:pos="4320"/>
        <w:tab w:val="right" w:pos="8640"/>
      </w:tabs>
    </w:pPr>
  </w:style>
  <w:style w:type="character" w:customStyle="1" w:styleId="FooterChar">
    <w:name w:val="Footer Char"/>
    <w:basedOn w:val="DefaultParagraphFont"/>
    <w:link w:val="Footer"/>
    <w:rsid w:val="009D7E39"/>
    <w:rPr>
      <w:rFonts w:ascii="Times New Roman" w:eastAsia="Times New Roman" w:hAnsi="Times New Roman" w:cs="Times New Roman"/>
      <w:sz w:val="24"/>
      <w:szCs w:val="24"/>
    </w:rPr>
  </w:style>
  <w:style w:type="character" w:styleId="PageNumber">
    <w:name w:val="page number"/>
    <w:basedOn w:val="DefaultParagraphFont"/>
    <w:rsid w:val="009D7E39"/>
  </w:style>
  <w:style w:type="paragraph" w:styleId="ListParagraph">
    <w:name w:val="List Paragraph"/>
    <w:basedOn w:val="Normal"/>
    <w:uiPriority w:val="34"/>
    <w:qFormat/>
    <w:rsid w:val="009D7E39"/>
    <w:pPr>
      <w:ind w:left="720"/>
      <w:contextualSpacing/>
    </w:pPr>
  </w:style>
  <w:style w:type="character" w:styleId="Hyperlink">
    <w:name w:val="Hyperlink"/>
    <w:basedOn w:val="DefaultParagraphFont"/>
    <w:uiPriority w:val="99"/>
    <w:semiHidden/>
    <w:unhideWhenUsed/>
    <w:rsid w:val="009D7E39"/>
    <w:rPr>
      <w:color w:val="0000FF"/>
      <w:u w:val="single"/>
    </w:rPr>
  </w:style>
  <w:style w:type="paragraph" w:styleId="BodyText3">
    <w:name w:val="Body Text 3"/>
    <w:basedOn w:val="Normal"/>
    <w:link w:val="BodyText3Char"/>
    <w:uiPriority w:val="99"/>
    <w:semiHidden/>
    <w:unhideWhenUsed/>
    <w:rsid w:val="008178BC"/>
    <w:pPr>
      <w:spacing w:after="120"/>
    </w:pPr>
    <w:rPr>
      <w:sz w:val="16"/>
      <w:szCs w:val="16"/>
    </w:rPr>
  </w:style>
  <w:style w:type="character" w:customStyle="1" w:styleId="BodyText3Char">
    <w:name w:val="Body Text 3 Char"/>
    <w:basedOn w:val="DefaultParagraphFont"/>
    <w:link w:val="BodyText3"/>
    <w:uiPriority w:val="99"/>
    <w:semiHidden/>
    <w:rsid w:val="008178BC"/>
    <w:rPr>
      <w:rFonts w:ascii="Times New Roman" w:eastAsia="Times New Roman" w:hAnsi="Times New Roman" w:cs="Times New Roman"/>
      <w:sz w:val="16"/>
      <w:szCs w:val="16"/>
    </w:rPr>
  </w:style>
  <w:style w:type="paragraph" w:customStyle="1" w:styleId="al">
    <w:name w:val="a_l"/>
    <w:basedOn w:val="Normal"/>
    <w:rsid w:val="008178BC"/>
    <w:pPr>
      <w:spacing w:before="100" w:beforeAutospacing="1" w:after="100" w:afterAutospacing="1"/>
    </w:pPr>
    <w:rPr>
      <w:lang w:eastAsia="ro-RO"/>
    </w:rPr>
  </w:style>
  <w:style w:type="paragraph" w:styleId="BalloonText">
    <w:name w:val="Balloon Text"/>
    <w:basedOn w:val="Normal"/>
    <w:link w:val="BalloonTextChar"/>
    <w:uiPriority w:val="99"/>
    <w:semiHidden/>
    <w:unhideWhenUsed/>
    <w:rsid w:val="00841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76"/>
    <w:rPr>
      <w:rFonts w:ascii="Segoe UI" w:eastAsia="Times New Roman" w:hAnsi="Segoe UI" w:cs="Segoe UI"/>
      <w:sz w:val="18"/>
      <w:szCs w:val="18"/>
    </w:rPr>
  </w:style>
  <w:style w:type="paragraph" w:styleId="NoSpacing">
    <w:name w:val="No Spacing"/>
    <w:link w:val="NoSpacingChar"/>
    <w:uiPriority w:val="99"/>
    <w:qFormat/>
    <w:rsid w:val="00CC5EF7"/>
    <w:pPr>
      <w:spacing w:after="0" w:line="240" w:lineRule="auto"/>
    </w:pPr>
    <w:rPr>
      <w:rFonts w:ascii="Calibri" w:eastAsia="Calibri" w:hAnsi="Calibri" w:cs="Times New Roman"/>
      <w:lang w:val="en-US"/>
    </w:rPr>
  </w:style>
  <w:style w:type="character" w:customStyle="1" w:styleId="NoSpacingChar">
    <w:name w:val="No Spacing Char"/>
    <w:link w:val="NoSpacing"/>
    <w:uiPriority w:val="99"/>
    <w:locked/>
    <w:rsid w:val="00CC5EF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42dknrxg4/codul-silvic-din-2008?pid=201730369&amp;d=2018-1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D9D35-5B84-4D7A-9CA2-DB400C44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12</Pages>
  <Words>5177</Words>
  <Characters>30029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2018-12-10T11:42:00Z</cp:lastPrinted>
  <dcterms:created xsi:type="dcterms:W3CDTF">2018-10-11T12:00:00Z</dcterms:created>
  <dcterms:modified xsi:type="dcterms:W3CDTF">2018-12-10T12:03:00Z</dcterms:modified>
</cp:coreProperties>
</file>