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D4" w:rsidRPr="00D47294" w:rsidRDefault="00F07AD4" w:rsidP="00F07AD4">
      <w:pPr>
        <w:ind w:left="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B03247" w:rsidRPr="00D47294" w:rsidRDefault="00B03247" w:rsidP="00F07AD4">
      <w:pPr>
        <w:ind w:left="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F07AD4" w:rsidRPr="00D47294" w:rsidRDefault="00F07AD4" w:rsidP="00F07AD4">
      <w:pPr>
        <w:ind w:left="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4729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NOTĂ DE FUNDAMENTARE</w:t>
      </w:r>
    </w:p>
    <w:tbl>
      <w:tblPr>
        <w:tblW w:w="0" w:type="auto"/>
        <w:tblInd w:w="2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0"/>
        <w:gridCol w:w="170"/>
        <w:gridCol w:w="691"/>
        <w:gridCol w:w="1134"/>
        <w:gridCol w:w="5345"/>
      </w:tblGrid>
      <w:tr w:rsidR="00D47294" w:rsidRPr="00D47294" w:rsidTr="00951088">
        <w:trPr>
          <w:trHeight w:val="944"/>
        </w:trPr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widowControl w:val="0"/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1: Titlul proiectului de act normativ</w:t>
            </w:r>
          </w:p>
          <w:p w:rsidR="00C378E2" w:rsidRPr="00D47294" w:rsidRDefault="00C378E2" w:rsidP="00951088">
            <w:pPr>
              <w:shd w:val="clear" w:color="auto" w:fill="FFFFFF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78E2" w:rsidRPr="00D47294" w:rsidRDefault="00C378E2" w:rsidP="00C378E2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  <w:kern w:val="3"/>
                <w:sz w:val="24"/>
                <w:szCs w:val="24"/>
                <w:lang w:val="ro-RO"/>
              </w:rPr>
            </w:pPr>
            <w:r w:rsidRPr="00D4729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3"/>
                <w:sz w:val="24"/>
                <w:szCs w:val="24"/>
                <w:lang w:val="ro-RO" w:bidi="en-US"/>
              </w:rPr>
              <w:t xml:space="preserve">                                                                     HOTĂRÂRE</w:t>
            </w:r>
          </w:p>
          <w:p w:rsidR="00435BC2" w:rsidRPr="00D47294" w:rsidRDefault="00435BC2" w:rsidP="0043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729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kern w:val="3"/>
                <w:sz w:val="24"/>
                <w:szCs w:val="24"/>
                <w:lang w:val="ro-RO" w:bidi="en-US"/>
              </w:rPr>
              <w:t xml:space="preserve">pentru modificarea și completarea anexei nr. 2 la </w:t>
            </w:r>
            <w:r w:rsidRPr="00D4729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val="ro-RO"/>
              </w:rPr>
              <w:t xml:space="preserve">Hotărârea Guvernului nr. 864/2016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aprobarea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schemei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Ajutor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asigurarea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serviciilor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silvice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fondul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forestier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proprietate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privată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persoanelor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juridice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fizice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desfăşoară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activităţi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proprietăţii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forestiere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mică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egală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cu 30 ha"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Procedurii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acordare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la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bugetul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stat a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costurilor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serviciilor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silvice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fondul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forestier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proprietate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privată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persoanelor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juridice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fizice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care nu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desfăşoară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activităţi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proprietăţii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forestiere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mică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egală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cu 30 ha, cu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modificările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completările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ulterioare</w:t>
            </w:r>
            <w:proofErr w:type="spellEnd"/>
          </w:p>
          <w:p w:rsidR="00B03247" w:rsidRPr="00D47294" w:rsidRDefault="00B03247" w:rsidP="006E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47294" w:rsidRPr="00D47294" w:rsidTr="00951088"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247" w:rsidRPr="00D47294" w:rsidRDefault="00B03247" w:rsidP="00951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F07AD4" w:rsidRPr="00D47294" w:rsidRDefault="00F07AD4" w:rsidP="00951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a 2-a: Motivul emiterii actului normativ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Descrierea situaţiei actuale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B03247">
            <w:pPr>
              <w:spacing w:before="60" w:after="6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 Ca urmare a proceselor succesive de reconstituire a dreptului de proprietate, î</w:t>
            </w:r>
            <w:r w:rsidRPr="00D472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>n România există o suprafaţă totală de 586 mii ha păduri aflate în proprietate privată ale căror suprafețe sunt mai mici sau egale cu 30 ha.</w:t>
            </w:r>
          </w:p>
          <w:p w:rsidR="00F07AD4" w:rsidRPr="00D47294" w:rsidRDefault="00F07AD4" w:rsidP="00B03247">
            <w:pPr>
              <w:spacing w:before="60" w:after="60" w:line="276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Indiferent de forma de proprietate, administrarea sau asigurarea serviciilor silvice pentru întregul fond forestier naţional este obligatorie și se realizează prin ocoale silvice, conform prevederilor art.10 din Legea nr.46/2008 – Codul Silvic, republicată, cu modificările ulterioare. </w:t>
            </w:r>
          </w:p>
          <w:p w:rsidR="00F07AD4" w:rsidRPr="00D47294" w:rsidRDefault="00F07AD4" w:rsidP="00B03247">
            <w:pPr>
              <w:spacing w:before="60" w:after="60" w:line="276" w:lineRule="auto"/>
              <w:ind w:firstLine="7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Administrarea sau serviciile silvice pentru toate categoriile de proprietari se asigură de către ocoalele silvice numai pe bază de contract, iar prestarea activităților menționate în contract se efectuează contra cost.</w:t>
            </w:r>
          </w:p>
          <w:p w:rsidR="00620592" w:rsidRPr="00D47294" w:rsidRDefault="00F07AD4" w:rsidP="00B032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Totodată, în scopul gestionării durabile a fondului forestier proprietate privată a persoanelor fizice şi juridice şi a celui proprietate publică şi privată a unităţilor administrativ-teritoriale, </w:t>
            </w:r>
            <w:r w:rsidR="00620592" w:rsidRPr="00D47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 fost aprobată Hotărârea Guvernului nr. 864/2016 </w:t>
            </w:r>
            <w:r w:rsidR="00620592" w:rsidRPr="00D4729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3"/>
                <w:sz w:val="24"/>
                <w:szCs w:val="24"/>
                <w:lang w:val="ro-RO" w:bidi="en-US"/>
              </w:rPr>
              <w:t>pentru modificarea și completarea Schemei de ajutor de minimis pentru asigurarea</w:t>
            </w:r>
            <w:r w:rsidR="00620592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serviciilor silvice pentru fondul forestier proprietate privată a persoanelor juridice și fizice care desfășoară activități economice, dacă suprafaţa proprietăţii forestiere este</w:t>
            </w:r>
            <w:r w:rsidR="003B112B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20592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mai mică sau egală cu 30 ha și a </w:t>
            </w:r>
            <w:r w:rsidR="00620592" w:rsidRPr="00D4729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3"/>
                <w:sz w:val="24"/>
                <w:szCs w:val="24"/>
                <w:lang w:val="ro-RO" w:bidi="en-US"/>
              </w:rPr>
              <w:t>Procedurii pentru asigurarea</w:t>
            </w:r>
            <w:r w:rsidR="00620592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serviciilor silvice pentru fondul forestier proprietate privată a persoanelor  fizice care nu desfășoară activități economice, dacă suprafaţa proprietăţii forestiere este mai mică sau egală cu 30 ha. </w:t>
            </w:r>
          </w:p>
          <w:p w:rsidR="00806AC5" w:rsidRPr="00D47294" w:rsidRDefault="00620592" w:rsidP="0089602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 Prin punerea în aplicare a acestei hotărâri s-au constatat </w:t>
            </w:r>
            <w:r w:rsidR="003849B7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următoarele 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neclarități și </w:t>
            </w:r>
            <w:r w:rsidR="00D1012C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disfuncționalități, </w:t>
            </w:r>
            <w:r w:rsidR="0089602E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în cadrul Procedurii prevăzute în Anexa nr.2,  </w:t>
            </w:r>
            <w:r w:rsidR="00D1012C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care trebuie remediate </w:t>
            </w:r>
            <w:r w:rsidR="0089602E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:</w:t>
            </w:r>
          </w:p>
          <w:p w:rsidR="0089602E" w:rsidRPr="00D47294" w:rsidRDefault="00D21430" w:rsidP="0089602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000000" w:themeColor="text1"/>
                <w:lang w:eastAsia="ro-RO"/>
              </w:rPr>
            </w:pPr>
            <w:r w:rsidRPr="00D47294">
              <w:rPr>
                <w:bCs/>
                <w:color w:val="000000" w:themeColor="text1"/>
                <w:lang w:eastAsia="ro-RO"/>
              </w:rPr>
              <w:t>Stabilirea modelului</w:t>
            </w:r>
            <w:r w:rsidR="0089602E" w:rsidRPr="00D47294">
              <w:rPr>
                <w:bCs/>
                <w:color w:val="000000" w:themeColor="text1"/>
                <w:lang w:eastAsia="ro-RO"/>
              </w:rPr>
              <w:t xml:space="preserve"> declarației pe proprie răspundere a titularului dreptului de proprietate din care să rezulte că nu desfășoară activitate economică potrivit art.5 lit.b din </w:t>
            </w:r>
            <w:r w:rsidRPr="00D47294">
              <w:rPr>
                <w:bCs/>
                <w:color w:val="000000" w:themeColor="text1"/>
                <w:lang w:eastAsia="ro-RO"/>
              </w:rPr>
              <w:t xml:space="preserve">Schema prevăzută în </w:t>
            </w:r>
            <w:r w:rsidR="0089602E" w:rsidRPr="00D47294">
              <w:rPr>
                <w:bCs/>
                <w:color w:val="000000" w:themeColor="text1"/>
                <w:lang w:eastAsia="ro-RO"/>
              </w:rPr>
              <w:t>Anexa nr.1</w:t>
            </w:r>
          </w:p>
          <w:p w:rsidR="0089602E" w:rsidRPr="00D47294" w:rsidRDefault="00245BB6" w:rsidP="00245BB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000000" w:themeColor="text1"/>
                <w:lang w:eastAsia="ro-RO"/>
              </w:rPr>
            </w:pPr>
            <w:r w:rsidRPr="00D47294">
              <w:rPr>
                <w:bCs/>
                <w:color w:val="000000" w:themeColor="text1"/>
                <w:lang w:eastAsia="ro-RO"/>
              </w:rPr>
              <w:lastRenderedPageBreak/>
              <w:t xml:space="preserve">Necorelarea </w:t>
            </w:r>
            <w:r w:rsidR="001E041D" w:rsidRPr="00D47294">
              <w:rPr>
                <w:bCs/>
                <w:color w:val="000000" w:themeColor="text1"/>
                <w:lang w:eastAsia="ro-RO"/>
              </w:rPr>
              <w:t xml:space="preserve"> prevederilor din Anexa nr. 2 (Procedură) cu cele din Anexa nr.1 (Schemă) în privința momentului depunerii documentelor </w:t>
            </w:r>
            <w:r w:rsidRPr="00D47294">
              <w:rPr>
                <w:bCs/>
                <w:color w:val="000000" w:themeColor="text1"/>
                <w:lang w:eastAsia="ro-RO"/>
              </w:rPr>
              <w:t>necesare acordării ajutorului de stat de către beneficiari.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Style w:val="do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1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1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În cazul proiectelor de acte normative care transpun legislaţie comunitară sau creează cadrul pentru aplicarea directă a acesteia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shd w:val="clear" w:color="auto" w:fill="FFFFFF"/>
              <w:tabs>
                <w:tab w:val="left" w:pos="298"/>
              </w:tabs>
              <w:ind w:left="180" w:right="15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Style w:val="do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  <w:t xml:space="preserve">Proiectul de act normativ nu se referă la acest subiect 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Schimbări preconizate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ab/>
              <w:t xml:space="preserve"> Prin adoptarea prezentei hotărâri se are în vedere: </w:t>
            </w:r>
          </w:p>
          <w:p w:rsidR="00F07AD4" w:rsidRPr="00D47294" w:rsidRDefault="00F07AD4" w:rsidP="0095108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</w:t>
            </w:r>
            <w:r w:rsidR="00CC568F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Corelarea procedurii de a</w:t>
            </w:r>
            <w:r w:rsidR="004B27AB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cordare</w:t>
            </w:r>
            <w:r w:rsidR="00CC568F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4B27AB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 ajutorului de </w:t>
            </w:r>
            <w:r w:rsidR="00CC568F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stat</w:t>
            </w:r>
            <w:r w:rsidR="004B27AB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4B27AB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în vederea  a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sigur</w:t>
            </w:r>
            <w:r w:rsidR="004B27AB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ării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serviciilor silvice pentru terenurile forestiere aflate în proprietatea privată a persoanelor fizice și juridice ale căror suprafețe s</w:t>
            </w:r>
            <w:r w:rsidR="00CC568F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unt mai mici sau egale cu 30 ha cu prevederile din Schema prevăzută în Anexa nr.1</w:t>
            </w:r>
          </w:p>
          <w:p w:rsidR="00F07AD4" w:rsidRPr="00D47294" w:rsidRDefault="00F07AD4" w:rsidP="00951088">
            <w:pPr>
              <w:spacing w:after="0"/>
              <w:jc w:val="both"/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   Practic proprietarii de terenuri forestiere cu suprafețe mai mici de 30 ha vor avea asigurate paza</w:t>
            </w:r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pădurilor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supravegherea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stării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sănătate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pădurilor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stabilirea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anuală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lucrărilor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silvice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prevăzute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amenajamentul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silvic.</w:t>
            </w:r>
          </w:p>
          <w:p w:rsidR="00F07AD4" w:rsidRPr="00D47294" w:rsidRDefault="00F07AD4" w:rsidP="006F625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proofErr w:type="spellStart"/>
            <w:r w:rsidR="00CC568F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Simplificarea</w:t>
            </w:r>
            <w:proofErr w:type="spellEnd"/>
            <w:r w:rsidR="00CC568F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C568F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procedurilor</w:t>
            </w:r>
            <w:proofErr w:type="spellEnd"/>
            <w:r w:rsidR="00CC568F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și</w:t>
            </w:r>
            <w:proofErr w:type="spellEnd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tratamentul</w:t>
            </w:r>
            <w:proofErr w:type="spellEnd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egal</w:t>
            </w:r>
            <w:proofErr w:type="spellEnd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toți</w:t>
            </w:r>
            <w:proofErr w:type="spellEnd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proprietarii</w:t>
            </w:r>
            <w:proofErr w:type="spellEnd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terenuri</w:t>
            </w:r>
            <w:proofErr w:type="spellEnd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forestiere</w:t>
            </w:r>
            <w:proofErr w:type="spellEnd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mici</w:t>
            </w:r>
            <w:proofErr w:type="spellEnd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30 ha </w:t>
            </w:r>
            <w:proofErr w:type="spellStart"/>
            <w:r w:rsidR="00CC568F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necesare</w:t>
            </w:r>
            <w:proofErr w:type="spellEnd"/>
            <w:r w:rsidR="00CC568F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sigur</w:t>
            </w:r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ării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serviciilor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silvice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către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ocoalele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silvice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autorizate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6259"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care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conduce implicit la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reducerea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tăierilor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păduri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protejarea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fondului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forestier</w:t>
            </w:r>
            <w:proofErr w:type="spellEnd"/>
            <w:r w:rsidRPr="00D47294">
              <w:rPr>
                <w:rStyle w:val="spa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3. Alte informaţii 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tabs>
                <w:tab w:val="left" w:pos="1065"/>
              </w:tabs>
              <w:ind w:left="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Nu este cazul</w:t>
            </w:r>
          </w:p>
        </w:tc>
      </w:tr>
      <w:tr w:rsidR="00D47294" w:rsidRPr="00D47294" w:rsidTr="00951088"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247" w:rsidRPr="00D47294" w:rsidRDefault="00B03247" w:rsidP="00951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F07AD4" w:rsidRPr="00D47294" w:rsidRDefault="00F07AD4" w:rsidP="00951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a 3-a: Impactul socioeconomic al proiectului de act normativ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Impactul macroeconomic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Proiectul de act normativ nu se referă la acest subiect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1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1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Impactul asupra mediului</w:t>
            </w:r>
          </w:p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concurenţial şi domeniului ajutoarelor de stat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   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</w:t>
            </w:r>
          </w:p>
          <w:p w:rsidR="00F07AD4" w:rsidRPr="00D47294" w:rsidRDefault="00F07AD4" w:rsidP="00951088">
            <w:pPr>
              <w:tabs>
                <w:tab w:val="left" w:pos="13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ab/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Impactul asupra mediului de afaceri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Proiectul de act normativ nu se referă la acest subiect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1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Impactul asupra sarcinilor administrative 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Proiectul de act normativ nu se referă la acest subiect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ro-RO"/>
              </w:rPr>
              <w:t>2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Impactul asupra întreprinderilor mici și mijlocii 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Proiectul de act normativ nu se referă la acest subiect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   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are impact social întrucât va crea locuri de muncă în cadrul ocoalelor silvice de stat sau de regim.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4. Impactul asupra mediului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Proiectul de act normativ are impact pozitiv asupra mediului deoarece contribuie la conservarea şi îmbunătăţirea calităţii ecosistemelor forestiere.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spacing w:after="0"/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5.Alte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spacing w:after="0"/>
              <w:ind w:left="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Nu este cazul</w:t>
            </w:r>
          </w:p>
        </w:tc>
      </w:tr>
      <w:tr w:rsidR="00D47294" w:rsidRPr="00D47294" w:rsidTr="00951088">
        <w:trPr>
          <w:trHeight w:val="645"/>
        </w:trPr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247" w:rsidRPr="00D47294" w:rsidRDefault="00B03247">
            <w:pPr>
              <w:rPr>
                <w:color w:val="000000" w:themeColor="text1"/>
              </w:rPr>
            </w:pPr>
          </w:p>
          <w:tbl>
            <w:tblPr>
              <w:tblW w:w="10711" w:type="dxa"/>
              <w:tblLayout w:type="fixed"/>
              <w:tblLook w:val="0000" w:firstRow="0" w:lastRow="0" w:firstColumn="0" w:lastColumn="0" w:noHBand="0" w:noVBand="0"/>
            </w:tblPr>
            <w:tblGrid>
              <w:gridCol w:w="3845"/>
              <w:gridCol w:w="960"/>
              <w:gridCol w:w="960"/>
              <w:gridCol w:w="1080"/>
              <w:gridCol w:w="960"/>
              <w:gridCol w:w="1140"/>
              <w:gridCol w:w="1746"/>
              <w:gridCol w:w="20"/>
            </w:tblGrid>
            <w:tr w:rsidR="00D47294" w:rsidRPr="00D47294" w:rsidTr="00951088">
              <w:trPr>
                <w:gridAfter w:val="1"/>
                <w:wAfter w:w="20" w:type="dxa"/>
                <w:trHeight w:val="940"/>
              </w:trPr>
              <w:tc>
                <w:tcPr>
                  <w:tcW w:w="10691" w:type="dxa"/>
                  <w:gridSpan w:val="7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tabs>
                      <w:tab w:val="left" w:pos="387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Secţiunea   a 4-a Impactul financiar asupra bugetului general consolidat, atât pe termen scurt, pentru anul curent, cât şi pe termen lung (pe 5 ani)</w:t>
                  </w:r>
                </w:p>
                <w:p w:rsidR="00F07AD4" w:rsidRPr="00D47294" w:rsidRDefault="00F07AD4" w:rsidP="00B03247">
                  <w:pPr>
                    <w:tabs>
                      <w:tab w:val="left" w:pos="1545"/>
                    </w:tabs>
                    <w:spacing w:after="0"/>
                    <w:ind w:left="18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Proiectul de act normativ nu se referă la acest subiect</w:t>
                  </w:r>
                </w:p>
                <w:p w:rsidR="00F07AD4" w:rsidRPr="00D47294" w:rsidRDefault="00F07AD4" w:rsidP="00951088">
                  <w:pPr>
                    <w:tabs>
                      <w:tab w:val="left" w:pos="154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                                                                                                                              - mii lei-</w:t>
                  </w:r>
                </w:p>
              </w:tc>
            </w:tr>
            <w:tr w:rsidR="00D47294" w:rsidRPr="00D47294" w:rsidTr="00951088">
              <w:trPr>
                <w:trHeight w:val="413"/>
              </w:trPr>
              <w:tc>
                <w:tcPr>
                  <w:tcW w:w="38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tabs>
                      <w:tab w:val="left" w:pos="6705"/>
                    </w:tabs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  <w:p w:rsidR="00F07AD4" w:rsidRPr="00D47294" w:rsidRDefault="00F07AD4" w:rsidP="00951088">
                  <w:pPr>
                    <w:tabs>
                      <w:tab w:val="left" w:pos="670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Indicatori</w:t>
                  </w:r>
                </w:p>
                <w:p w:rsidR="00F07AD4" w:rsidRPr="00D47294" w:rsidRDefault="00F07AD4" w:rsidP="00951088">
                  <w:pPr>
                    <w:tabs>
                      <w:tab w:val="left" w:pos="6450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Anul</w:t>
                  </w:r>
                </w:p>
                <w:p w:rsidR="00F07AD4" w:rsidRPr="00D47294" w:rsidRDefault="00F07AD4" w:rsidP="00951088">
                  <w:pPr>
                    <w:spacing w:after="0"/>
                    <w:ind w:left="-4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curent</w:t>
                  </w:r>
                </w:p>
                <w:p w:rsidR="00F07AD4" w:rsidRPr="00D47294" w:rsidRDefault="00F07AD4" w:rsidP="0045665F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20</w:t>
                  </w:r>
                  <w:r w:rsidR="0045665F"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19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  <w:p w:rsidR="00F07AD4" w:rsidRPr="00D47294" w:rsidRDefault="00F07AD4" w:rsidP="00951088">
                  <w:pPr>
                    <w:tabs>
                      <w:tab w:val="left" w:pos="6450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Următorii 4 ani</w:t>
                  </w:r>
                </w:p>
              </w:tc>
              <w:tc>
                <w:tcPr>
                  <w:tcW w:w="176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tabs>
                      <w:tab w:val="left" w:pos="12"/>
                    </w:tabs>
                    <w:spacing w:after="0"/>
                    <w:ind w:left="-10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Media pe</w:t>
                  </w:r>
                </w:p>
                <w:p w:rsidR="00F07AD4" w:rsidRPr="00D47294" w:rsidRDefault="00F07AD4" w:rsidP="00951088">
                  <w:pPr>
                    <w:tabs>
                      <w:tab w:val="left" w:pos="6450"/>
                    </w:tabs>
                    <w:spacing w:after="0"/>
                    <w:ind w:left="18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5 ani</w:t>
                  </w:r>
                </w:p>
              </w:tc>
            </w:tr>
            <w:tr w:rsidR="00D47294" w:rsidRPr="00D47294" w:rsidTr="00951088">
              <w:trPr>
                <w:trHeight w:val="412"/>
              </w:trPr>
              <w:tc>
                <w:tcPr>
                  <w:tcW w:w="3845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tabs>
                      <w:tab w:val="left" w:pos="6705"/>
                    </w:tabs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45665F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20</w:t>
                  </w:r>
                  <w:r w:rsidR="0045665F"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45665F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20</w:t>
                  </w:r>
                  <w:r w:rsidR="0045665F"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45665F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20</w:t>
                  </w:r>
                  <w:r w:rsidR="00445ED4"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  <w:r w:rsidR="0045665F"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45665F">
                  <w:pPr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202</w:t>
                  </w:r>
                  <w:r w:rsidR="0045665F"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766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rPr>
                <w:trHeight w:val="24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tabs>
                      <w:tab w:val="left" w:pos="2715"/>
                    </w:tabs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07AD4" w:rsidRPr="00D47294" w:rsidRDefault="00F07AD4" w:rsidP="00951088">
                  <w:pPr>
                    <w:tabs>
                      <w:tab w:val="left" w:pos="2715"/>
                    </w:tabs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7</w:t>
                  </w:r>
                </w:p>
              </w:tc>
            </w:tr>
            <w:tr w:rsidR="00D47294" w:rsidRPr="00D47294" w:rsidTr="00951088">
              <w:trPr>
                <w:trHeight w:val="342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</w:t>
                  </w:r>
                  <w:r w:rsidRPr="00D472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. Modificări ale veniturilor bugetare, plus/minus, din care: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tabs>
                      <w:tab w:val="left" w:pos="627"/>
                    </w:tabs>
                    <w:snapToGrid w:val="0"/>
                    <w:spacing w:after="0"/>
                    <w:ind w:left="-108" w:right="-22" w:firstLine="28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a) buget de stat, din acesta: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  (i)  impozit pe profit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  (ii) impozit pe venit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b)   bugete locale: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  (i)  impozit pe profit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 w:right="-16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c) bugetul asigurărilor sociale de stat: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 w:right="-163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  (i) contribuţii de asigurări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 w:right="-163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2</w:t>
                  </w: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. Modificări ale cheltuielilor bugetare, plus/minus, din care: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tabs>
                      <w:tab w:val="left" w:pos="627"/>
                    </w:tabs>
                    <w:snapToGrid w:val="0"/>
                    <w:spacing w:after="0"/>
                    <w:ind w:left="-108" w:right="-22" w:firstLine="28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rPr>
                <w:trHeight w:val="210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a) buget de stat, din acesta: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108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168" w:right="-2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-228" w:right="-163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rPr>
                <w:trHeight w:val="32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tabs>
                      <w:tab w:val="left" w:pos="747"/>
                    </w:tabs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 (iii)   cheltuieli de capital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b) credit extern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c) surse proprii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 3. </w:t>
                  </w: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Impact financiar, plus/minus, din care: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tabs>
                      <w:tab w:val="left" w:pos="577"/>
                    </w:tabs>
                    <w:spacing w:after="0"/>
                    <w:ind w:left="18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  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tabs>
                      <w:tab w:val="left" w:pos="577"/>
                    </w:tabs>
                    <w:snapToGrid w:val="0"/>
                    <w:spacing w:after="0"/>
                    <w:ind w:left="18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a) buget de stat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4 </w:t>
                  </w: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. Propuneri pentru acoperirea creşterii cheltuielilor  bugetare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rPr>
                <w:trHeight w:val="531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5</w:t>
                  </w: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. Propuneri pentru a compensa reducerea  veniturilor bugetare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rPr>
                <w:trHeight w:val="755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  6</w:t>
                  </w: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. Calcule detaliate privind fundamentarea  modificărilor veniturilor şi/sau cheltuielilor bugetare </w:t>
                  </w:r>
                </w:p>
              </w:tc>
              <w:tc>
                <w:tcPr>
                  <w:tcW w:w="68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napToGrid w:val="0"/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D47294" w:rsidRPr="00D47294" w:rsidTr="00951088">
              <w:trPr>
                <w:trHeight w:val="279"/>
              </w:trPr>
              <w:tc>
                <w:tcPr>
                  <w:tcW w:w="3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tabs>
                      <w:tab w:val="left" w:pos="2952"/>
                    </w:tabs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7</w:t>
                  </w: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 xml:space="preserve">. Alte informaţii </w:t>
                  </w:r>
                </w:p>
              </w:tc>
              <w:tc>
                <w:tcPr>
                  <w:tcW w:w="686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7AD4" w:rsidRPr="00D47294" w:rsidRDefault="00F07AD4" w:rsidP="00951088">
                  <w:pPr>
                    <w:spacing w:after="0"/>
                    <w:ind w:left="18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D472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       </w:t>
                  </w:r>
                  <w:r w:rsidRPr="00D4729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Nu este cazul</w:t>
                  </w:r>
                </w:p>
              </w:tc>
            </w:tr>
          </w:tbl>
          <w:p w:rsidR="00F07AD4" w:rsidRPr="00D47294" w:rsidRDefault="00F07AD4" w:rsidP="00951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47294" w:rsidRPr="00D47294" w:rsidTr="00951088">
        <w:trPr>
          <w:trHeight w:val="339"/>
        </w:trPr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247" w:rsidRPr="00D47294" w:rsidRDefault="00B03247" w:rsidP="00951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F07AD4" w:rsidRPr="00D47294" w:rsidRDefault="00F07AD4" w:rsidP="00951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a 5-a: Efectele proiectului de act normativ asupra legislaţiei în vigoare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spacing w:after="0"/>
              <w:ind w:left="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Măsuri normative necesare pentru aplicarea prevederilor proiectului de act normativ:</w:t>
            </w:r>
          </w:p>
          <w:p w:rsidR="00F07AD4" w:rsidRPr="00D47294" w:rsidRDefault="00F07AD4" w:rsidP="00951088">
            <w:pPr>
              <w:spacing w:after="0"/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  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a) acte normative  în vigoare ce vor fi modificate sau abrogate, ca urmare a intrării în vigoare a proiectului de act normativ;</w:t>
            </w:r>
          </w:p>
          <w:p w:rsidR="00F07AD4" w:rsidRPr="00D47294" w:rsidRDefault="00F07AD4" w:rsidP="00951088">
            <w:pPr>
              <w:spacing w:after="0"/>
              <w:ind w:left="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b) acte normative ce urmează a fi elaborate în vederea  implementării noilor dispoziţii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247" w:rsidRPr="00D47294" w:rsidRDefault="00B03247" w:rsidP="00B032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F07AD4" w:rsidRPr="00D47294" w:rsidRDefault="00174C6A" w:rsidP="00B032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Prin intrarea în vigoare a acestui proiect de act normativ se modifică și se completează anex</w:t>
            </w:r>
            <w:r w:rsidR="0045665F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nr. 2 la </w:t>
            </w:r>
            <w:r w:rsidRPr="00D4729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ro-RO"/>
              </w:rPr>
              <w:t xml:space="preserve">Hotărârea Guvernului </w:t>
            </w:r>
            <w:r w:rsidRPr="00D4729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ro-RO"/>
              </w:rPr>
              <w:lastRenderedPageBreak/>
              <w:t xml:space="preserve">nr. 864/2016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aprobarea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schemei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Ajutor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asigurarea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serviciilor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silvice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fondul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forestier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proprietate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privată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persoanelor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juridice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fizice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desfăşoară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activităţi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economice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proprietăţii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forestiere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mică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egală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30 ha"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Procedurii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acordare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la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bugetul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stat a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costurilor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serviciilor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silvice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fondul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forestier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proprietate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privată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persoanelor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juridice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fizice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nu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desfăşoară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activităţi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economice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dacă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suprafaţa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proprietăţii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forestiere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mică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egală</w:t>
            </w:r>
            <w:proofErr w:type="spellEnd"/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30 ha,</w:t>
            </w:r>
            <w:r w:rsidRPr="00D4729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ro-RO"/>
              </w:rPr>
              <w:t xml:space="preserve"> publicată în Monitorul Oficial al României, Partea I, nr. 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944 din 23 noiembri</w:t>
            </w:r>
            <w:r w:rsidRPr="00D47294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val="ro-RO"/>
              </w:rPr>
              <w:t>e 2016.</w:t>
            </w:r>
          </w:p>
          <w:p w:rsidR="00B03247" w:rsidRPr="00D47294" w:rsidRDefault="00B03247" w:rsidP="00B032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1¹ </w:t>
            </w:r>
            <w:r w:rsidRPr="00D47294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 xml:space="preserve"> Compatibilitatea proiectului de  act normativ cu legislaţia în domeniul achiziţiilor publice</w:t>
            </w:r>
          </w:p>
          <w:p w:rsidR="00F07AD4" w:rsidRPr="00D47294" w:rsidRDefault="00F07AD4" w:rsidP="00F07A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 xml:space="preserve">impact legislative-prevederi de </w:t>
            </w:r>
          </w:p>
          <w:p w:rsidR="00F07AD4" w:rsidRPr="00D47294" w:rsidRDefault="00F07AD4" w:rsidP="00951088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modificare şi completare a cadrului normative în domeniul achiziţiilor publice, prevederi derogatorii;</w:t>
            </w:r>
          </w:p>
          <w:p w:rsidR="00F07AD4" w:rsidRPr="00D47294" w:rsidRDefault="00F07AD4" w:rsidP="00951088">
            <w:pPr>
              <w:spacing w:after="0"/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eastAsia="Calibri" w:hAnsi="Times New Roman" w:cs="Times New Roman"/>
                <w:iCs/>
                <w:noProof/>
                <w:color w:val="000000" w:themeColor="text1"/>
                <w:sz w:val="24"/>
                <w:szCs w:val="24"/>
                <w:lang w:val="ro-RO"/>
              </w:rPr>
              <w:t>b )  norme cu impact la nivel operational/tehnic-sisteme electronice utilizate în desfăşurarea procedurilor de achiziţie publică, unităţi centralizate de achiziţii publice, structură organizatorică internă a autorităţilor contractante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</w:t>
            </w:r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D472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Conformitatea proiectului de act  normativ cu legislaţia comunitară în cazul proiectelor  ce  transpun prevederi comunitare             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3. </w:t>
            </w:r>
            <w:r w:rsidRPr="00D4729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o-RO"/>
              </w:rPr>
              <w:t xml:space="preserve">Măsuri normative necesare aplicării directe a                                        actelor normative comunitare                                                     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 Hotărâri ale Curţii de Justiţie a Uniunii Europene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/>
        </w:trPr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6.  Alte informaţii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este cazul.</w:t>
            </w:r>
          </w:p>
        </w:tc>
      </w:tr>
      <w:tr w:rsidR="00D47294" w:rsidRPr="00D47294" w:rsidTr="00951088"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a 6-a: Consultările efectuate în vederea elaborării proiectului de act normativ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EF009C" w:rsidP="00174C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 xml:space="preserve">Proiectul de act normativ a fost elaborat cu consultarea </w:t>
            </w:r>
            <w:r w:rsidR="00174C6A" w:rsidRPr="00D47294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>g</w:t>
            </w:r>
            <w:r w:rsidR="002C594E" w:rsidRPr="00D47294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>ărzilor forestiere,</w:t>
            </w:r>
            <w:r w:rsidRPr="00D47294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 xml:space="preserve"> Regiei Naţionale a Pădurilor – Romsilva, Asociaţiei Administratorilor de Păduri din România-AAP, Asociaţiei WWF Programul Dunăre - Carpaţi România</w:t>
            </w:r>
            <w:r w:rsidR="002C594E" w:rsidRPr="00D47294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 xml:space="preserve"> </w:t>
            </w:r>
            <w:r w:rsidRPr="00D47294">
              <w:rPr>
                <w:rFonts w:ascii="Times New Roman" w:hAnsi="Times New Roman"/>
                <w:color w:val="000000" w:themeColor="text1"/>
                <w:sz w:val="24"/>
                <w:szCs w:val="24"/>
                <w:lang w:val="ro-RO" w:bidi="en-US"/>
              </w:rPr>
              <w:t>.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2. Fundamentarea alegerii organizaţiilor cu care a avut loc consultarea, precum şi a modului în care activitatea acestor organizaţii este legată de obiectul proiectului de act normativ 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Consultările organizate cu autorităţile  administraţiei publice locale, în situaţia în care proiectul de act normativ are ca obiect  activităţi ale acestor autorităţi, în condiţiile 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F07AD4" w:rsidRPr="00D47294" w:rsidRDefault="00F07AD4" w:rsidP="009510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La elaborarea prezentului proiect de act normativ au fost consultate  structurile asociative ale autorităţilor administraţiei publice locale,  care au comunicat prin adresa nr. 539/2016 ca nu au propuneri și observații. 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 Consultările desfăşurate în cadrul consiliilor interministeriale, în conformitate cu prevederile Hotărârii Guvernului nr. 750/2005</w:t>
            </w:r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privind  </w:t>
            </w:r>
          </w:p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constituirea consiliilor interministeriale permanente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tabs>
                <w:tab w:val="left" w:pos="252"/>
              </w:tabs>
              <w:snapToGrid w:val="0"/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F07AD4" w:rsidRPr="00D47294" w:rsidRDefault="00F07AD4" w:rsidP="00951088">
            <w:pPr>
              <w:tabs>
                <w:tab w:val="left" w:pos="252"/>
              </w:tabs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spacing w:after="0"/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Informaţii privind avizarea de către:</w:t>
            </w:r>
          </w:p>
          <w:p w:rsidR="00F07AD4" w:rsidRPr="00D47294" w:rsidRDefault="00F07AD4" w:rsidP="00951088">
            <w:pPr>
              <w:spacing w:after="0"/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a) Consiliul Legislativ</w:t>
            </w:r>
          </w:p>
          <w:p w:rsidR="00F07AD4" w:rsidRPr="00D47294" w:rsidRDefault="00F07AD4" w:rsidP="00951088">
            <w:pPr>
              <w:spacing w:after="0"/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b) Consiliul Suprem de Apărare a Ţării</w:t>
            </w:r>
          </w:p>
          <w:p w:rsidR="00F07AD4" w:rsidRPr="00D47294" w:rsidRDefault="00F07AD4" w:rsidP="00951088">
            <w:pPr>
              <w:spacing w:after="0"/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c) Consiliul Economic şi Social</w:t>
            </w:r>
          </w:p>
          <w:p w:rsidR="00F07AD4" w:rsidRPr="00D47294" w:rsidRDefault="00F07AD4" w:rsidP="00951088">
            <w:pPr>
              <w:spacing w:after="0"/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d) Consiliul Concurenţei</w:t>
            </w:r>
          </w:p>
          <w:p w:rsidR="00F07AD4" w:rsidRPr="00D47294" w:rsidRDefault="00F07AD4" w:rsidP="00951088">
            <w:pPr>
              <w:spacing w:after="0"/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e) Curtea de Conturi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tabs>
                <w:tab w:val="left" w:pos="458"/>
                <w:tab w:val="left" w:pos="1035"/>
              </w:tabs>
              <w:snapToGrid w:val="0"/>
              <w:spacing w:after="0"/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  <w:p w:rsidR="00F07AD4" w:rsidRPr="00D47294" w:rsidRDefault="00F07AD4" w:rsidP="00951088">
            <w:pPr>
              <w:tabs>
                <w:tab w:val="left" w:pos="458"/>
                <w:tab w:val="left" w:pos="1035"/>
              </w:tabs>
              <w:spacing w:after="0"/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Proiectul de act normativ a fost avizat de </w:t>
            </w:r>
            <w:r w:rsidR="0006705D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către Consiliul Concurenței și de către </w:t>
            </w: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Consiliul Legislativ</w:t>
            </w:r>
            <w:r w:rsidR="00B03247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D47294" w:rsidRPr="00D47294" w:rsidTr="009510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6. Alte informaţii                                                            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tabs>
                <w:tab w:val="left" w:pos="383"/>
              </w:tabs>
              <w:ind w:left="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este cazul.</w:t>
            </w:r>
          </w:p>
        </w:tc>
      </w:tr>
      <w:tr w:rsidR="00D47294" w:rsidRPr="00D47294" w:rsidTr="00951088"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247" w:rsidRPr="00D47294" w:rsidRDefault="00B03247" w:rsidP="00951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F07AD4" w:rsidRPr="00D47294" w:rsidRDefault="00F07AD4" w:rsidP="00951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a 7-a: Activităţi de informare publică privind elaborarea si implementarea proiectului de act normativ</w:t>
            </w:r>
          </w:p>
        </w:tc>
      </w:tr>
      <w:tr w:rsidR="00D47294" w:rsidRPr="00D47294" w:rsidTr="00B032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Informarea societăţii civile cu privire la necesitatea elaborării proiectului de act normativ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B03247">
            <w:pPr>
              <w:ind w:left="180" w:right="1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  În elaborarea proiectului a fost îndeplinită  procedura stabilită prin  Legea  nr. 52/2003 privind transparenţa decizională în administraţia  publică</w:t>
            </w:r>
            <w:r w:rsidR="00B03247"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D47294" w:rsidRPr="00D47294" w:rsidTr="00B032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    </w:t>
            </w:r>
          </w:p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D47294" w:rsidRPr="00D47294" w:rsidTr="00B032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3. Alte informaţii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este cazul.</w:t>
            </w:r>
          </w:p>
        </w:tc>
      </w:tr>
      <w:tr w:rsidR="00D47294" w:rsidRPr="00D47294" w:rsidTr="00951088">
        <w:tc>
          <w:tcPr>
            <w:tcW w:w="10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</w:t>
            </w:r>
            <w:proofErr w:type="spellEnd"/>
            <w:r w:rsidRPr="00D472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a 8-a:Măsuri de implementare</w:t>
            </w:r>
          </w:p>
        </w:tc>
      </w:tr>
      <w:tr w:rsidR="00D47294" w:rsidRPr="00D47294" w:rsidTr="00B032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Măsurile de punere în aplicare a proiectului de act normativ de către autorităţile administraţiei publice centrale şi/sau locale - înfiinţarea unor noi organisme sau extinderea competenţelor instituţiilor existente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    </w:t>
            </w:r>
          </w:p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F07AD4" w:rsidRPr="00D47294" w:rsidTr="00B032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2.  Alte informaţii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AD4" w:rsidRPr="00D47294" w:rsidRDefault="00F07AD4" w:rsidP="00951088">
            <w:pPr>
              <w:ind w:lef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47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Nu este cazul.</w:t>
            </w:r>
          </w:p>
        </w:tc>
      </w:tr>
    </w:tbl>
    <w:p w:rsidR="00F07AD4" w:rsidRPr="00D47294" w:rsidRDefault="00F07AD4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20D8F" w:rsidRPr="00D47294" w:rsidRDefault="00220D8F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20D8F" w:rsidRPr="00D47294" w:rsidRDefault="00220D8F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20D8F" w:rsidRPr="00D47294" w:rsidRDefault="00220D8F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20D8F" w:rsidRPr="00D47294" w:rsidRDefault="00220D8F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20D8F" w:rsidRPr="00D47294" w:rsidRDefault="00220D8F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20D8F" w:rsidRPr="00D47294" w:rsidRDefault="00220D8F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20D8F" w:rsidRPr="00D47294" w:rsidRDefault="00220D8F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20D8F" w:rsidRPr="00D47294" w:rsidRDefault="00220D8F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20D8F" w:rsidRPr="00D47294" w:rsidRDefault="00220D8F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20D8F" w:rsidRPr="00D47294" w:rsidRDefault="00220D8F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20D8F" w:rsidRPr="00D47294" w:rsidRDefault="00220D8F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20D8F" w:rsidRPr="00D47294" w:rsidRDefault="00220D8F" w:rsidP="00F07A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4A6B44" w:rsidRPr="00D47294" w:rsidRDefault="004A6B44" w:rsidP="00B0324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0" w:name="do%7Cax1%7Cpa1"/>
      <w:bookmarkEnd w:id="0"/>
    </w:p>
    <w:p w:rsidR="00C96307" w:rsidRPr="00D47294" w:rsidRDefault="00C96307" w:rsidP="00B0324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C96307" w:rsidRPr="00D47294" w:rsidRDefault="00C96307" w:rsidP="00B0324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C96307" w:rsidRPr="00D47294" w:rsidRDefault="00C96307" w:rsidP="00B0324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C96307" w:rsidRPr="00D47294" w:rsidRDefault="00C96307" w:rsidP="00B0324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C96307" w:rsidRPr="00D47294" w:rsidRDefault="00C96307" w:rsidP="00B0324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C96307" w:rsidRPr="00D47294" w:rsidRDefault="00C96307" w:rsidP="00B0324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C96307" w:rsidRPr="00D47294" w:rsidRDefault="00C96307" w:rsidP="00B0324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B03247" w:rsidRPr="00D47294" w:rsidRDefault="00B03247" w:rsidP="00B0324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A624DB" w:rsidRPr="00D47294" w:rsidRDefault="004A6B44" w:rsidP="00D6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472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 xml:space="preserve">        </w:t>
      </w:r>
      <w:r w:rsidR="00F07AD4" w:rsidRPr="00D472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Pentru considerentele de mai sus, am elaborat prezentul proiect de </w:t>
      </w:r>
      <w:r w:rsidR="00F07AD4" w:rsidRPr="00D47294"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bg-BG" w:bidi="en-US"/>
        </w:rPr>
        <w:t>hotărâre</w:t>
      </w:r>
      <w:r w:rsidR="00F07AD4" w:rsidRPr="00D47294"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bidi="en-US"/>
        </w:rPr>
        <w:t xml:space="preserve"> </w:t>
      </w:r>
      <w:r w:rsidR="00D658AA" w:rsidRPr="00D47294">
        <w:rPr>
          <w:rFonts w:ascii="Times New Roman" w:eastAsia="Times New Roman" w:hAnsi="Times New Roman" w:cs="Times New Roman"/>
          <w:bCs/>
          <w:noProof/>
          <w:color w:val="000000" w:themeColor="text1"/>
          <w:kern w:val="3"/>
          <w:sz w:val="24"/>
          <w:szCs w:val="24"/>
          <w:lang w:val="ro-RO" w:bidi="en-US"/>
        </w:rPr>
        <w:t>pentru modificarea și completarea anexe</w:t>
      </w:r>
      <w:r w:rsidR="0045665F" w:rsidRPr="00D47294">
        <w:rPr>
          <w:rFonts w:ascii="Times New Roman" w:eastAsia="Times New Roman" w:hAnsi="Times New Roman" w:cs="Times New Roman"/>
          <w:bCs/>
          <w:noProof/>
          <w:color w:val="000000" w:themeColor="text1"/>
          <w:kern w:val="3"/>
          <w:sz w:val="24"/>
          <w:szCs w:val="24"/>
          <w:lang w:val="ro-RO" w:bidi="en-US"/>
        </w:rPr>
        <w:t>i</w:t>
      </w:r>
      <w:r w:rsidR="00D658AA" w:rsidRPr="00D47294">
        <w:rPr>
          <w:rFonts w:ascii="Times New Roman" w:eastAsia="Times New Roman" w:hAnsi="Times New Roman" w:cs="Times New Roman"/>
          <w:bCs/>
          <w:noProof/>
          <w:color w:val="000000" w:themeColor="text1"/>
          <w:kern w:val="3"/>
          <w:sz w:val="24"/>
          <w:szCs w:val="24"/>
          <w:lang w:val="ro-RO" w:bidi="en-US"/>
        </w:rPr>
        <w:t xml:space="preserve"> nr. 2 la </w:t>
      </w:r>
      <w:r w:rsidR="00D658AA" w:rsidRPr="00D4729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  <w:t xml:space="preserve">Hotărârea Guvernului nr. 864/2016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schemei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Ajutor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asigurarea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serviciilor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silvice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fondul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forestier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proprietate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privată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persoanelor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juridice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fizice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desfăşoară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activităţi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economice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dacă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proprietăţii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forestiere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mică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egală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30 ha"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Procedurii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acordare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bugetul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stat a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costurilor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serviciilor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silvice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fondul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forestier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proprietate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privată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persoanelor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juridice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fizice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nu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desfăşoară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activităţi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economice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dacă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proprietăţii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forestiere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mică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>egală</w:t>
      </w:r>
      <w:proofErr w:type="spellEnd"/>
      <w:r w:rsidR="00D658AA" w:rsidRPr="00D4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30 ha</w:t>
      </w:r>
      <w:r w:rsidR="00A624DB" w:rsidRPr="00D4729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  <w:t>,</w:t>
      </w:r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care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în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forma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prezentată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fost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avizat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către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ministerele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interesate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şi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Consiliul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Legislativ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şi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pe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care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îl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supunem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spre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adoptare</w:t>
      </w:r>
      <w:proofErr w:type="spellEnd"/>
      <w:r w:rsidR="00A624DB" w:rsidRPr="00D47294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624DB" w:rsidRPr="00D47294" w:rsidRDefault="00A624DB" w:rsidP="00A624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F07AD4" w:rsidRPr="00D47294" w:rsidRDefault="00F07AD4" w:rsidP="006663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:rsidR="0066634A" w:rsidRPr="00D47294" w:rsidRDefault="0066634A" w:rsidP="00F07A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p w:rsidR="00F07AD4" w:rsidRPr="00D47294" w:rsidRDefault="00F07AD4" w:rsidP="00F07A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  <w:r w:rsidRPr="00D47294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  <w:t>MINISTRUL APELOR  ŞI PĂDURILOR</w:t>
      </w:r>
    </w:p>
    <w:p w:rsidR="00F07AD4" w:rsidRPr="00D47294" w:rsidRDefault="00F07AD4" w:rsidP="00F07A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</w:pPr>
    </w:p>
    <w:p w:rsidR="00F07AD4" w:rsidRPr="00D47294" w:rsidRDefault="00C96307" w:rsidP="00F07AD4">
      <w:pPr>
        <w:tabs>
          <w:tab w:val="left" w:pos="-540"/>
          <w:tab w:val="left" w:pos="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  <w:r w:rsidRPr="00D47294"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24"/>
          <w:szCs w:val="24"/>
          <w:lang w:val="ro-RO" w:bidi="en-US"/>
        </w:rPr>
        <w:t>Ioan  DENEȘ</w:t>
      </w:r>
    </w:p>
    <w:p w:rsidR="00F07AD4" w:rsidRPr="00D47294" w:rsidRDefault="00F07AD4" w:rsidP="00F07A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p w:rsidR="00F07AD4" w:rsidRPr="00D47294" w:rsidRDefault="00F07AD4" w:rsidP="00F07AD4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  <w:r w:rsidRPr="00D47294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  <w:t xml:space="preserve">                                                              </w:t>
      </w:r>
      <w:bookmarkStart w:id="1" w:name="_GoBack"/>
      <w:bookmarkEnd w:id="1"/>
    </w:p>
    <w:p w:rsidR="00F07AD4" w:rsidRPr="00D47294" w:rsidRDefault="00F07AD4" w:rsidP="00F07AD4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  <w:r w:rsidRPr="00D4729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u w:val="single"/>
          <w:lang w:val="ro-RO" w:bidi="en-US"/>
        </w:rPr>
        <w:t>Avizăm favorabil:</w:t>
      </w:r>
    </w:p>
    <w:p w:rsidR="00F07AD4" w:rsidRPr="00D47294" w:rsidRDefault="00F07AD4" w:rsidP="00F07A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</w:p>
    <w:p w:rsidR="00F07AD4" w:rsidRPr="00D47294" w:rsidRDefault="00F07AD4" w:rsidP="00F07AD4">
      <w:pPr>
        <w:tabs>
          <w:tab w:val="left" w:pos="-540"/>
          <w:tab w:val="left" w:pos="0"/>
          <w:tab w:val="left" w:pos="1335"/>
          <w:tab w:val="center" w:pos="2340"/>
          <w:tab w:val="left" w:pos="6795"/>
        </w:tabs>
        <w:spacing w:after="0" w:line="240" w:lineRule="auto"/>
        <w:ind w:left="180"/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</w:pPr>
      <w:r w:rsidRPr="00D47294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ro-RO" w:bidi="en-US"/>
        </w:rPr>
        <w:t xml:space="preserve">                                                              </w:t>
      </w:r>
    </w:p>
    <w:tbl>
      <w:tblPr>
        <w:tblW w:w="1072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748"/>
        <w:gridCol w:w="4980"/>
      </w:tblGrid>
      <w:tr w:rsidR="00D47294" w:rsidRPr="00D47294" w:rsidTr="00951088">
        <w:tc>
          <w:tcPr>
            <w:tcW w:w="5748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 w:rsidRPr="00D4729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  <w:t>VICEPRIM-MINISTRU,</w:t>
            </w: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  <w:r w:rsidRPr="00D47294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  <w:t>MINISTRUL DEZVOLTĂRII REGIONALE ŞI ADMINISTRAŢIEI PUBLICE</w:t>
            </w: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553B2F" w:rsidP="0066634A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  <w:r w:rsidRPr="00D47294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  <w:t>Daniel SUCIU</w:t>
            </w:r>
            <w:r w:rsidR="00F07AD4" w:rsidRPr="00D4729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  <w:t xml:space="preserve"> </w:t>
            </w:r>
          </w:p>
        </w:tc>
        <w:tc>
          <w:tcPr>
            <w:tcW w:w="4980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  <w:r w:rsidRPr="00D47294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  <w:t xml:space="preserve">   </w:t>
            </w: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  <w:r w:rsidRPr="00D47294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  <w:t>MINISTRUL FINANŢELOR PUBLICE</w:t>
            </w: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553B2F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  <w:r w:rsidRPr="00D47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t-IT" w:bidi="en-US"/>
              </w:rPr>
              <w:t>Eugen Orlando TEODOROVICI</w:t>
            </w:r>
            <w:r w:rsidRPr="00D47294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  <w:t xml:space="preserve"> </w:t>
            </w: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</w:tr>
      <w:tr w:rsidR="00D47294" w:rsidRPr="00D47294" w:rsidTr="00951088">
        <w:trPr>
          <w:trHeight w:val="1653"/>
        </w:trPr>
        <w:tc>
          <w:tcPr>
            <w:tcW w:w="5748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 w:rsidRPr="00D47294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  <w:t>MINISTRUL AFACERILOR EXTERNE</w:t>
            </w: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553B2F" w:rsidP="00620592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  <w:r w:rsidRPr="00D472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 w:bidi="en-US"/>
              </w:rPr>
              <w:t>Teodor-Viorel MELEȘCANU</w:t>
            </w:r>
          </w:p>
        </w:tc>
        <w:tc>
          <w:tcPr>
            <w:tcW w:w="4980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 w:rsidRPr="00D47294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  <w:t xml:space="preserve">MINISTRUL AGRICULTURII ȘI </w:t>
            </w: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 w:rsidRPr="00D47294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  <w:t>DEZVOLTĂRII RURALE</w:t>
            </w: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66634A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  <w:r w:rsidRPr="00D47294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  <w:t>Petre DAEA</w:t>
            </w:r>
          </w:p>
        </w:tc>
      </w:tr>
      <w:tr w:rsidR="00D47294" w:rsidRPr="00D47294" w:rsidTr="00951088">
        <w:trPr>
          <w:trHeight w:val="1653"/>
        </w:trPr>
        <w:tc>
          <w:tcPr>
            <w:tcW w:w="5748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</w:pPr>
            <w:r w:rsidRPr="00D4729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  <w:t>MINISTRUL JUSTIŢIEI</w:t>
            </w: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</w:pPr>
          </w:p>
          <w:p w:rsidR="00F07AD4" w:rsidRPr="00D47294" w:rsidRDefault="0066634A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bidi="en-US"/>
              </w:rPr>
            </w:pPr>
            <w:r w:rsidRPr="00D4729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  <w:t>Tudorel T</w:t>
            </w:r>
            <w:r w:rsidR="00553B2F" w:rsidRPr="00D47294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  <w:t>OADER</w:t>
            </w: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D47294" w:rsidRPr="00D47294" w:rsidTr="00951088">
        <w:trPr>
          <w:trHeight w:val="1653"/>
        </w:trPr>
        <w:tc>
          <w:tcPr>
            <w:tcW w:w="5748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F07AD4" w:rsidRPr="00D47294" w:rsidRDefault="00F07AD4" w:rsidP="009510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D47294" w:rsidRPr="00D47294" w:rsidTr="00951088">
        <w:tc>
          <w:tcPr>
            <w:tcW w:w="5748" w:type="dxa"/>
            <w:shd w:val="clear" w:color="auto" w:fill="auto"/>
          </w:tcPr>
          <w:p w:rsidR="00F07AD4" w:rsidRPr="00D47294" w:rsidRDefault="00F07AD4" w:rsidP="009510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it-IT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:rsidR="00F07AD4" w:rsidRPr="00D47294" w:rsidRDefault="00F07AD4" w:rsidP="00F07AD4">
      <w:pPr>
        <w:tabs>
          <w:tab w:val="left" w:pos="-540"/>
          <w:tab w:val="left" w:pos="0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bidi="en-US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48"/>
        <w:gridCol w:w="4980"/>
      </w:tblGrid>
      <w:tr w:rsidR="00D47294" w:rsidRPr="00D47294" w:rsidTr="00951088">
        <w:tc>
          <w:tcPr>
            <w:tcW w:w="5748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D47294" w:rsidRPr="00D47294" w:rsidTr="00951088">
        <w:trPr>
          <w:trHeight w:val="2060"/>
        </w:trPr>
        <w:tc>
          <w:tcPr>
            <w:tcW w:w="5748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  <w:r w:rsidRPr="00D47294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  <w:t xml:space="preserve">   </w:t>
            </w: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  <w:tr w:rsidR="00D47294" w:rsidRPr="00D47294" w:rsidTr="00951088">
        <w:trPr>
          <w:trHeight w:val="1653"/>
        </w:trPr>
        <w:tc>
          <w:tcPr>
            <w:tcW w:w="5748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napToGri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  <w:tc>
          <w:tcPr>
            <w:tcW w:w="4980" w:type="dxa"/>
            <w:shd w:val="clear" w:color="auto" w:fill="auto"/>
          </w:tcPr>
          <w:p w:rsidR="00F07AD4" w:rsidRPr="00D47294" w:rsidRDefault="00F07AD4" w:rsidP="00951088">
            <w:pPr>
              <w:tabs>
                <w:tab w:val="left" w:pos="-540"/>
                <w:tab w:val="left" w:pos="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  <w:lang w:val="ro-RO" w:bidi="en-US"/>
              </w:rPr>
            </w:pPr>
          </w:p>
        </w:tc>
      </w:tr>
    </w:tbl>
    <w:p w:rsidR="00F07AD4" w:rsidRPr="00D47294" w:rsidRDefault="00F07AD4" w:rsidP="00F07AD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F07AD4" w:rsidRPr="00D47294" w:rsidRDefault="00F07AD4" w:rsidP="00F07AD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F07AD4" w:rsidRPr="00D47294" w:rsidRDefault="00F07AD4" w:rsidP="00F07AD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F07AD4" w:rsidRPr="00D47294" w:rsidRDefault="00F07AD4" w:rsidP="00F07AD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D472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        </w:t>
      </w:r>
    </w:p>
    <w:p w:rsidR="00F07AD4" w:rsidRPr="00D47294" w:rsidRDefault="00F07AD4" w:rsidP="00F07AD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F07AD4" w:rsidRPr="00D47294" w:rsidRDefault="00F07AD4" w:rsidP="00F07AD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F07AD4" w:rsidRPr="00D47294" w:rsidRDefault="00F07AD4" w:rsidP="00F07AD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F07AD4" w:rsidRPr="00D47294" w:rsidRDefault="00F07AD4" w:rsidP="00F07AD4">
      <w:pPr>
        <w:rPr>
          <w:color w:val="000000" w:themeColor="text1"/>
        </w:rPr>
      </w:pPr>
    </w:p>
    <w:p w:rsidR="00A95D54" w:rsidRPr="00D47294" w:rsidRDefault="00A95D54">
      <w:pPr>
        <w:rPr>
          <w:color w:val="000000" w:themeColor="text1"/>
        </w:rPr>
      </w:pPr>
    </w:p>
    <w:sectPr w:rsidR="00A95D54" w:rsidRPr="00D47294" w:rsidSect="00F44525">
      <w:pgSz w:w="12240" w:h="15840"/>
      <w:pgMar w:top="426" w:right="4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0BAE"/>
    <w:multiLevelType w:val="hybridMultilevel"/>
    <w:tmpl w:val="F33A896C"/>
    <w:lvl w:ilvl="0" w:tplc="D612E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57BB"/>
    <w:multiLevelType w:val="hybridMultilevel"/>
    <w:tmpl w:val="219E13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C4D5CFB"/>
    <w:multiLevelType w:val="hybridMultilevel"/>
    <w:tmpl w:val="2E18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D4"/>
    <w:rsid w:val="0006705D"/>
    <w:rsid w:val="00104015"/>
    <w:rsid w:val="00125B4B"/>
    <w:rsid w:val="00134551"/>
    <w:rsid w:val="00174C6A"/>
    <w:rsid w:val="001E041D"/>
    <w:rsid w:val="001F4DD7"/>
    <w:rsid w:val="001F70CF"/>
    <w:rsid w:val="00202384"/>
    <w:rsid w:val="00220D8F"/>
    <w:rsid w:val="00245BB6"/>
    <w:rsid w:val="002C594E"/>
    <w:rsid w:val="003849B7"/>
    <w:rsid w:val="003B112B"/>
    <w:rsid w:val="00435BC2"/>
    <w:rsid w:val="00445ED4"/>
    <w:rsid w:val="0045665F"/>
    <w:rsid w:val="004A5D66"/>
    <w:rsid w:val="004A6B44"/>
    <w:rsid w:val="004B27AB"/>
    <w:rsid w:val="004D0403"/>
    <w:rsid w:val="00553B2F"/>
    <w:rsid w:val="0058067C"/>
    <w:rsid w:val="00620592"/>
    <w:rsid w:val="0066634A"/>
    <w:rsid w:val="00670075"/>
    <w:rsid w:val="006D7ABA"/>
    <w:rsid w:val="006E46EC"/>
    <w:rsid w:val="006F6259"/>
    <w:rsid w:val="00806AC5"/>
    <w:rsid w:val="00850D19"/>
    <w:rsid w:val="0089602E"/>
    <w:rsid w:val="0098270A"/>
    <w:rsid w:val="009952AA"/>
    <w:rsid w:val="00A624DB"/>
    <w:rsid w:val="00A95D54"/>
    <w:rsid w:val="00B03247"/>
    <w:rsid w:val="00B12140"/>
    <w:rsid w:val="00B51502"/>
    <w:rsid w:val="00C073AE"/>
    <w:rsid w:val="00C3382E"/>
    <w:rsid w:val="00C372D8"/>
    <w:rsid w:val="00C378E2"/>
    <w:rsid w:val="00C96307"/>
    <w:rsid w:val="00CC568F"/>
    <w:rsid w:val="00D1012C"/>
    <w:rsid w:val="00D21430"/>
    <w:rsid w:val="00D47294"/>
    <w:rsid w:val="00D658AA"/>
    <w:rsid w:val="00E724FA"/>
    <w:rsid w:val="00EF009C"/>
    <w:rsid w:val="00F07AD4"/>
    <w:rsid w:val="00F31260"/>
    <w:rsid w:val="00F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B5A1C-782A-43F4-9AD6-DD599DE0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F07AD4"/>
    <w:rPr>
      <w:b/>
      <w:bCs/>
      <w:sz w:val="26"/>
      <w:szCs w:val="26"/>
    </w:rPr>
  </w:style>
  <w:style w:type="character" w:customStyle="1" w:styleId="spar">
    <w:name w:val="s_par"/>
    <w:basedOn w:val="DefaultParagraphFont"/>
    <w:rsid w:val="00F07AD4"/>
  </w:style>
  <w:style w:type="paragraph" w:styleId="ListParagraph">
    <w:name w:val="List Paragraph"/>
    <w:basedOn w:val="Normal"/>
    <w:uiPriority w:val="34"/>
    <w:qFormat/>
    <w:rsid w:val="00F07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n2talineat">
    <w:name w:val="ln2talineat"/>
    <w:basedOn w:val="DefaultParagraphFont"/>
    <w:uiPriority w:val="99"/>
    <w:rsid w:val="00D1012C"/>
  </w:style>
  <w:style w:type="paragraph" w:styleId="BalloonText">
    <w:name w:val="Balloon Text"/>
    <w:basedOn w:val="Normal"/>
    <w:link w:val="BalloonTextChar"/>
    <w:uiPriority w:val="99"/>
    <w:semiHidden/>
    <w:unhideWhenUsed/>
    <w:rsid w:val="001F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8</cp:revision>
  <cp:lastPrinted>2017-05-08T11:28:00Z</cp:lastPrinted>
  <dcterms:created xsi:type="dcterms:W3CDTF">2019-03-12T08:51:00Z</dcterms:created>
  <dcterms:modified xsi:type="dcterms:W3CDTF">2019-03-15T10:45:00Z</dcterms:modified>
</cp:coreProperties>
</file>