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F5F" w:rsidRPr="00E82F73" w:rsidRDefault="00841B0D" w:rsidP="00E82F73">
      <w:pPr>
        <w:shd w:val="clear" w:color="auto" w:fill="FFFFFF"/>
        <w:spacing w:before="120" w:after="120"/>
        <w:jc w:val="right"/>
        <w:rPr>
          <w:rStyle w:val="tax1"/>
          <w:rFonts w:asciiTheme="minorHAnsi" w:hAnsiTheme="minorHAnsi" w:cs="Arial"/>
          <w:sz w:val="24"/>
          <w:szCs w:val="24"/>
          <w:lang w:val="ro-RO"/>
        </w:rPr>
      </w:pPr>
      <w:r>
        <w:rPr>
          <w:rStyle w:val="tax1"/>
          <w:rFonts w:asciiTheme="minorHAnsi" w:hAnsiTheme="minorHAnsi" w:cs="Arial"/>
          <w:sz w:val="24"/>
          <w:szCs w:val="24"/>
          <w:lang w:val="ro-RO"/>
        </w:rPr>
        <w:t>ANEXA</w:t>
      </w:r>
      <w:r w:rsidR="00E82F73">
        <w:rPr>
          <w:rStyle w:val="tax1"/>
          <w:rFonts w:asciiTheme="minorHAnsi" w:hAnsiTheme="minorHAnsi" w:cs="Arial"/>
          <w:sz w:val="24"/>
          <w:szCs w:val="24"/>
          <w:lang w:val="ro-RO"/>
        </w:rPr>
        <w:t xml:space="preserve"> </w:t>
      </w:r>
      <w:r>
        <w:rPr>
          <w:rStyle w:val="tax1"/>
          <w:rFonts w:asciiTheme="minorHAnsi" w:hAnsiTheme="minorHAnsi" w:cs="Arial"/>
          <w:sz w:val="24"/>
          <w:szCs w:val="24"/>
          <w:lang w:val="ro-RO"/>
        </w:rPr>
        <w:t>1.d</w:t>
      </w:r>
    </w:p>
    <w:p w:rsidR="0016695C" w:rsidRDefault="0016695C" w:rsidP="0016695C">
      <w:pPr>
        <w:shd w:val="clear" w:color="auto" w:fill="FFFFFF"/>
        <w:spacing w:before="120" w:after="120"/>
        <w:jc w:val="center"/>
        <w:rPr>
          <w:rStyle w:val="tax1"/>
          <w:rFonts w:asciiTheme="minorHAnsi" w:hAnsiTheme="minorHAnsi" w:cs="Arial"/>
          <w:sz w:val="32"/>
          <w:szCs w:val="32"/>
          <w:lang w:val="ro-RO"/>
        </w:rPr>
      </w:pPr>
    </w:p>
    <w:p w:rsidR="0016695C" w:rsidRDefault="0016695C" w:rsidP="0016695C">
      <w:pPr>
        <w:shd w:val="clear" w:color="auto" w:fill="FFFFFF"/>
        <w:spacing w:before="120" w:after="120"/>
        <w:jc w:val="center"/>
        <w:rPr>
          <w:rStyle w:val="tax1"/>
          <w:rFonts w:asciiTheme="minorHAnsi" w:hAnsiTheme="minorHAnsi" w:cs="Arial"/>
          <w:sz w:val="32"/>
          <w:szCs w:val="32"/>
          <w:lang w:val="ro-RO"/>
        </w:rPr>
      </w:pPr>
    </w:p>
    <w:p w:rsidR="0016695C" w:rsidRDefault="0016695C" w:rsidP="0016695C">
      <w:pPr>
        <w:shd w:val="clear" w:color="auto" w:fill="FFFFFF"/>
        <w:spacing w:before="120" w:after="120"/>
        <w:jc w:val="center"/>
        <w:rPr>
          <w:rStyle w:val="tax1"/>
          <w:rFonts w:asciiTheme="minorHAnsi" w:hAnsiTheme="minorHAnsi" w:cs="Arial"/>
          <w:sz w:val="32"/>
          <w:szCs w:val="32"/>
          <w:lang w:val="ro-RO"/>
        </w:rPr>
      </w:pPr>
      <w:r>
        <w:rPr>
          <w:rStyle w:val="tax1"/>
          <w:rFonts w:asciiTheme="minorHAnsi" w:hAnsiTheme="minorHAnsi" w:cs="Arial"/>
          <w:sz w:val="32"/>
          <w:szCs w:val="32"/>
          <w:lang w:val="ro-RO"/>
        </w:rPr>
        <w:t xml:space="preserve">COMPETENȚELE DE EMITERE </w:t>
      </w:r>
    </w:p>
    <w:p w:rsidR="0016695C" w:rsidRDefault="0016695C" w:rsidP="0016695C">
      <w:pPr>
        <w:shd w:val="clear" w:color="auto" w:fill="FFFFFF"/>
        <w:spacing w:before="120" w:after="120"/>
        <w:jc w:val="center"/>
        <w:rPr>
          <w:rStyle w:val="tax1"/>
          <w:rFonts w:asciiTheme="minorHAnsi" w:hAnsiTheme="minorHAnsi" w:cs="Arial"/>
          <w:sz w:val="32"/>
          <w:szCs w:val="32"/>
          <w:lang w:val="ro-RO"/>
        </w:rPr>
      </w:pPr>
      <w:r>
        <w:rPr>
          <w:rStyle w:val="tax1"/>
          <w:rFonts w:asciiTheme="minorHAnsi" w:hAnsiTheme="minorHAnsi" w:cs="Arial"/>
          <w:sz w:val="32"/>
          <w:szCs w:val="32"/>
          <w:lang w:val="ro-RO"/>
        </w:rPr>
        <w:t xml:space="preserve">A AVIZULUI DE GOSPODĂRIRE A APELOR </w:t>
      </w:r>
    </w:p>
    <w:p w:rsidR="0016695C" w:rsidRDefault="0016695C" w:rsidP="0016695C">
      <w:pPr>
        <w:shd w:val="clear" w:color="auto" w:fill="FFFFFF"/>
        <w:spacing w:before="120" w:after="120"/>
        <w:jc w:val="center"/>
        <w:rPr>
          <w:rStyle w:val="tax1"/>
          <w:rFonts w:asciiTheme="minorHAnsi" w:hAnsiTheme="minorHAnsi" w:cs="Arial"/>
          <w:sz w:val="32"/>
          <w:szCs w:val="3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770"/>
      </w:tblGrid>
      <w:tr w:rsidR="0016695C" w:rsidTr="0016695C">
        <w:tc>
          <w:tcPr>
            <w:tcW w:w="4068" w:type="dxa"/>
          </w:tcPr>
          <w:p w:rsidR="0016695C" w:rsidRPr="00CE3F5F" w:rsidRDefault="0016695C" w:rsidP="00AD6A9E">
            <w:pPr>
              <w:spacing w:before="120" w:after="120"/>
              <w:jc w:val="center"/>
              <w:rPr>
                <w:rStyle w:val="tax1"/>
                <w:rFonts w:asciiTheme="minorHAnsi" w:hAnsiTheme="minorHAnsi" w:cs="Arial"/>
                <w:sz w:val="28"/>
                <w:szCs w:val="28"/>
                <w:lang w:val="ro-RO"/>
              </w:rPr>
            </w:pPr>
            <w:r w:rsidRPr="00CE3F5F">
              <w:rPr>
                <w:rStyle w:val="tax1"/>
                <w:rFonts w:asciiTheme="minorHAnsi" w:hAnsiTheme="minorHAnsi" w:cs="Arial"/>
                <w:sz w:val="28"/>
                <w:szCs w:val="28"/>
                <w:lang w:val="ro-RO"/>
              </w:rPr>
              <w:t xml:space="preserve">Administrațiile </w:t>
            </w:r>
            <w:r>
              <w:rPr>
                <w:rStyle w:val="tax1"/>
                <w:rFonts w:asciiTheme="minorHAnsi" w:hAnsiTheme="minorHAnsi" w:cs="Arial"/>
                <w:sz w:val="28"/>
                <w:szCs w:val="28"/>
                <w:lang w:val="ro-RO"/>
              </w:rPr>
              <w:t>B</w:t>
            </w:r>
            <w:r w:rsidRPr="00CE3F5F">
              <w:rPr>
                <w:rStyle w:val="tax1"/>
                <w:rFonts w:asciiTheme="minorHAnsi" w:hAnsiTheme="minorHAnsi" w:cs="Arial"/>
                <w:sz w:val="28"/>
                <w:szCs w:val="28"/>
                <w:lang w:val="ro-RO"/>
              </w:rPr>
              <w:t xml:space="preserve">azinale de </w:t>
            </w:r>
            <w:r>
              <w:rPr>
                <w:rStyle w:val="tax1"/>
                <w:rFonts w:asciiTheme="minorHAnsi" w:hAnsiTheme="minorHAnsi" w:cs="Arial"/>
                <w:sz w:val="28"/>
                <w:szCs w:val="28"/>
                <w:lang w:val="ro-RO"/>
              </w:rPr>
              <w:t>A</w:t>
            </w:r>
            <w:r w:rsidRPr="00CE3F5F">
              <w:rPr>
                <w:rStyle w:val="tax1"/>
                <w:rFonts w:asciiTheme="minorHAnsi" w:hAnsiTheme="minorHAnsi" w:cs="Arial"/>
                <w:sz w:val="28"/>
                <w:szCs w:val="28"/>
                <w:lang w:val="ro-RO"/>
              </w:rPr>
              <w:t>pă</w:t>
            </w:r>
          </w:p>
        </w:tc>
        <w:tc>
          <w:tcPr>
            <w:tcW w:w="4770" w:type="dxa"/>
          </w:tcPr>
          <w:p w:rsidR="0016695C" w:rsidRPr="00CE3F5F" w:rsidRDefault="0016695C" w:rsidP="00AD6A9E">
            <w:pPr>
              <w:spacing w:before="120" w:after="120"/>
              <w:jc w:val="center"/>
              <w:rPr>
                <w:rStyle w:val="tax1"/>
                <w:rFonts w:asciiTheme="minorHAnsi" w:hAnsiTheme="minorHAnsi" w:cs="Arial"/>
                <w:sz w:val="28"/>
                <w:szCs w:val="28"/>
                <w:lang w:val="ro-RO"/>
              </w:rPr>
            </w:pPr>
            <w:r w:rsidRPr="00CE3F5F">
              <w:rPr>
                <w:rStyle w:val="tax1"/>
                <w:rFonts w:asciiTheme="minorHAnsi" w:hAnsiTheme="minorHAnsi" w:cs="Arial"/>
                <w:sz w:val="28"/>
                <w:szCs w:val="28"/>
                <w:lang w:val="ro-RO"/>
              </w:rPr>
              <w:t xml:space="preserve">Administrația Națională </w:t>
            </w:r>
          </w:p>
          <w:p w:rsidR="0016695C" w:rsidRPr="00CE3F5F" w:rsidRDefault="0016695C" w:rsidP="00AD6A9E">
            <w:pPr>
              <w:spacing w:before="120" w:after="120"/>
              <w:jc w:val="center"/>
              <w:rPr>
                <w:rStyle w:val="tax1"/>
                <w:rFonts w:asciiTheme="minorHAnsi" w:hAnsiTheme="minorHAnsi" w:cs="Arial"/>
                <w:sz w:val="28"/>
                <w:szCs w:val="28"/>
                <w:lang w:val="ro-RO"/>
              </w:rPr>
            </w:pPr>
            <w:r w:rsidRPr="00CE3F5F">
              <w:rPr>
                <w:rStyle w:val="tax1"/>
                <w:rFonts w:asciiTheme="minorHAnsi" w:hAnsiTheme="minorHAnsi" w:cs="Arial"/>
                <w:sz w:val="28"/>
                <w:szCs w:val="28"/>
                <w:lang w:val="ro-RO"/>
              </w:rPr>
              <w:t>„Apele Române”</w:t>
            </w:r>
          </w:p>
        </w:tc>
      </w:tr>
      <w:tr w:rsidR="0016695C" w:rsidTr="0016695C">
        <w:tc>
          <w:tcPr>
            <w:tcW w:w="4068" w:type="dxa"/>
          </w:tcPr>
          <w:p w:rsidR="0016695C" w:rsidRPr="00CE3F5F" w:rsidRDefault="0016695C" w:rsidP="00A35F26">
            <w:pPr>
              <w:spacing w:before="120" w:after="120"/>
              <w:jc w:val="both"/>
              <w:rPr>
                <w:rStyle w:val="tax1"/>
                <w:rFonts w:asciiTheme="minorHAnsi" w:hAnsiTheme="minorHAnsi" w:cs="Arial"/>
                <w:sz w:val="24"/>
                <w:szCs w:val="24"/>
                <w:lang w:val="ro-RO"/>
              </w:rPr>
            </w:pPr>
            <w:r w:rsidRPr="00CE3F5F">
              <w:rPr>
                <w:rStyle w:val="tax1"/>
                <w:rFonts w:asciiTheme="minorHAnsi" w:hAnsiTheme="minorHAnsi" w:cs="Arial"/>
                <w:sz w:val="24"/>
                <w:szCs w:val="24"/>
                <w:lang w:val="ro-RO"/>
              </w:rPr>
              <w:t xml:space="preserve">Au competența de a emite </w:t>
            </w:r>
            <w:r w:rsidRPr="00BB2CE9">
              <w:rPr>
                <w:rFonts w:asciiTheme="minorHAnsi" w:hAnsiTheme="minorHAnsi" w:cs="Arial"/>
                <w:b/>
                <w:bCs/>
                <w:sz w:val="24"/>
                <w:szCs w:val="24"/>
                <w:lang w:val="ro-RO"/>
              </w:rPr>
              <w:t>avizul de gospodărire a apelor</w:t>
            </w:r>
            <w:r w:rsidRPr="00CE3F5F">
              <w:rPr>
                <w:rStyle w:val="tax1"/>
                <w:rFonts w:asciiTheme="minorHAnsi" w:hAnsiTheme="minorHAnsi" w:cs="Arial"/>
                <w:sz w:val="24"/>
                <w:szCs w:val="24"/>
                <w:lang w:val="ro-RO"/>
              </w:rPr>
              <w:t xml:space="preserve"> pentru:</w:t>
            </w:r>
          </w:p>
          <w:p w:rsidR="0016695C" w:rsidRPr="00CE3F5F" w:rsidRDefault="0016695C" w:rsidP="00A35F26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Style w:val="tax1"/>
                <w:rFonts w:cs="Arial"/>
                <w:sz w:val="24"/>
                <w:szCs w:val="24"/>
              </w:rPr>
            </w:pPr>
            <w:r w:rsidRPr="00CE3F5F">
              <w:rPr>
                <w:rStyle w:val="tax1"/>
                <w:rFonts w:cs="Arial"/>
                <w:sz w:val="24"/>
                <w:szCs w:val="24"/>
              </w:rPr>
              <w:t xml:space="preserve">Proiecte care se realizează </w:t>
            </w:r>
            <w:r>
              <w:rPr>
                <w:rStyle w:val="tax1"/>
                <w:rFonts w:cs="Arial"/>
                <w:sz w:val="24"/>
                <w:szCs w:val="24"/>
              </w:rPr>
              <w:t xml:space="preserve">pe teritoriul administrat </w:t>
            </w:r>
          </w:p>
          <w:p w:rsidR="0016695C" w:rsidRPr="00F83856" w:rsidRDefault="0016695C" w:rsidP="00A35F26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Style w:val="tax1"/>
                <w:rFonts w:cs="Arial"/>
                <w:sz w:val="32"/>
                <w:szCs w:val="32"/>
              </w:rPr>
            </w:pPr>
            <w:r w:rsidRPr="00CE3F5F">
              <w:rPr>
                <w:rStyle w:val="tax1"/>
                <w:rFonts w:cs="Arial"/>
                <w:sz w:val="24"/>
                <w:szCs w:val="24"/>
              </w:rPr>
              <w:t xml:space="preserve">Proiecte pentru care </w:t>
            </w:r>
            <w:r>
              <w:rPr>
                <w:rStyle w:val="tax1"/>
                <w:rFonts w:cs="Arial"/>
                <w:sz w:val="24"/>
                <w:szCs w:val="24"/>
              </w:rPr>
              <w:t>este necesară</w:t>
            </w:r>
            <w:r w:rsidRPr="00CE3F5F">
              <w:rPr>
                <w:rStyle w:val="tax1"/>
                <w:rFonts w:cs="Arial"/>
                <w:sz w:val="24"/>
                <w:szCs w:val="24"/>
              </w:rPr>
              <w:t xml:space="preserve"> elaborarea SEICA</w:t>
            </w:r>
          </w:p>
          <w:p w:rsidR="0016695C" w:rsidRPr="001729A4" w:rsidRDefault="0016695C" w:rsidP="00A35F26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Style w:val="tax1"/>
                <w:rFonts w:cs="Arial"/>
                <w:sz w:val="32"/>
                <w:szCs w:val="32"/>
              </w:rPr>
            </w:pPr>
            <w:r>
              <w:rPr>
                <w:rStyle w:val="tax1"/>
                <w:rFonts w:cs="Arial"/>
                <w:sz w:val="24"/>
                <w:szCs w:val="24"/>
              </w:rPr>
              <w:t>Proiecte care pot avea un efect transfrontier asupra corpurilor de apă și sunt amplasate pe teritoriul bazinului hidrografic</w:t>
            </w:r>
          </w:p>
          <w:p w:rsidR="0016695C" w:rsidRPr="006B3580" w:rsidRDefault="0016695C" w:rsidP="00A35F26">
            <w:pPr>
              <w:pStyle w:val="ListParagraph"/>
              <w:spacing w:before="120" w:after="120"/>
              <w:ind w:left="360"/>
              <w:jc w:val="both"/>
              <w:rPr>
                <w:rStyle w:val="tax1"/>
                <w:rFonts w:cs="Arial"/>
                <w:sz w:val="32"/>
                <w:szCs w:val="32"/>
              </w:rPr>
            </w:pPr>
          </w:p>
        </w:tc>
        <w:tc>
          <w:tcPr>
            <w:tcW w:w="4770" w:type="dxa"/>
          </w:tcPr>
          <w:p w:rsidR="0016695C" w:rsidRPr="00CE3F5F" w:rsidRDefault="0016695C" w:rsidP="00A35F26">
            <w:pPr>
              <w:spacing w:before="120" w:after="120"/>
              <w:jc w:val="both"/>
              <w:rPr>
                <w:rStyle w:val="tax1"/>
                <w:rFonts w:asciiTheme="minorHAnsi" w:hAnsiTheme="minorHAnsi" w:cs="Arial"/>
                <w:sz w:val="24"/>
                <w:szCs w:val="24"/>
                <w:lang w:val="ro-RO"/>
              </w:rPr>
            </w:pPr>
            <w:r w:rsidRPr="00CE3F5F">
              <w:rPr>
                <w:rStyle w:val="tax1"/>
                <w:rFonts w:asciiTheme="minorHAnsi" w:hAnsiTheme="minorHAnsi" w:cs="Arial"/>
                <w:sz w:val="24"/>
                <w:szCs w:val="24"/>
                <w:lang w:val="ro-RO"/>
              </w:rPr>
              <w:t xml:space="preserve">Au competența de a emite </w:t>
            </w:r>
            <w:r w:rsidRPr="00BB2CE9">
              <w:rPr>
                <w:rFonts w:asciiTheme="minorHAnsi" w:hAnsiTheme="minorHAnsi" w:cs="Arial"/>
                <w:b/>
                <w:bCs/>
                <w:sz w:val="24"/>
                <w:szCs w:val="24"/>
                <w:lang w:val="ro-RO"/>
              </w:rPr>
              <w:t>avizul de gospodărire a apelor</w:t>
            </w:r>
            <w:r w:rsidRPr="00CE3F5F">
              <w:rPr>
                <w:rStyle w:val="tax1"/>
                <w:rFonts w:asciiTheme="minorHAnsi" w:hAnsiTheme="minorHAnsi" w:cs="Arial"/>
                <w:sz w:val="24"/>
                <w:szCs w:val="24"/>
                <w:lang w:val="ro-RO"/>
              </w:rPr>
              <w:t xml:space="preserve"> pentru:</w:t>
            </w:r>
          </w:p>
          <w:p w:rsidR="0016695C" w:rsidRPr="00CE3F5F" w:rsidRDefault="0016695C" w:rsidP="00A35F26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Style w:val="tax1"/>
                <w:rFonts w:cs="Arial"/>
                <w:sz w:val="32"/>
                <w:szCs w:val="32"/>
              </w:rPr>
            </w:pPr>
            <w:r>
              <w:rPr>
                <w:rStyle w:val="tax1"/>
                <w:rFonts w:cs="Arial"/>
                <w:sz w:val="24"/>
                <w:szCs w:val="24"/>
              </w:rPr>
              <w:t>P</w:t>
            </w:r>
            <w:r w:rsidRPr="00CE3F5F">
              <w:rPr>
                <w:rStyle w:val="tax1"/>
                <w:rFonts w:cs="Arial"/>
                <w:sz w:val="24"/>
                <w:szCs w:val="24"/>
              </w:rPr>
              <w:t>roiecte</w:t>
            </w:r>
            <w:bookmarkStart w:id="0" w:name="_GoBack"/>
            <w:bookmarkEnd w:id="0"/>
            <w:r>
              <w:rPr>
                <w:rStyle w:val="tax1"/>
                <w:rFonts w:cs="Arial"/>
                <w:sz w:val="24"/>
                <w:szCs w:val="24"/>
              </w:rPr>
              <w:t xml:space="preserve"> care se realizează pe mai multe bazine hidrografice</w:t>
            </w:r>
          </w:p>
          <w:p w:rsidR="0016695C" w:rsidRPr="003F30BB" w:rsidRDefault="0016695C" w:rsidP="00A35F26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Style w:val="tax1"/>
                <w:rFonts w:cs="Arial"/>
                <w:sz w:val="32"/>
                <w:szCs w:val="32"/>
              </w:rPr>
            </w:pPr>
            <w:r>
              <w:rPr>
                <w:rStyle w:val="tax1"/>
                <w:rFonts w:cs="Arial"/>
                <w:sz w:val="24"/>
                <w:szCs w:val="24"/>
              </w:rPr>
              <w:t xml:space="preserve">Proiecte care pot avea un efect transfrontier asupra corpurilor de apă și sunt amplasate pe teritoriul a două sau mai multe bazine hidrografice </w:t>
            </w:r>
          </w:p>
          <w:p w:rsidR="0016695C" w:rsidRPr="001729A4" w:rsidRDefault="0016695C" w:rsidP="00A35F26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Style w:val="tax1"/>
                <w:rFonts w:cs="Arial"/>
                <w:sz w:val="32"/>
                <w:szCs w:val="32"/>
              </w:rPr>
            </w:pPr>
            <w:r>
              <w:rPr>
                <w:rStyle w:val="tax1"/>
                <w:rFonts w:cs="Arial"/>
                <w:sz w:val="24"/>
                <w:szCs w:val="24"/>
              </w:rPr>
              <w:t>Proiecte ai căror titulari sunt unități din subordinea A.N.A.R.</w:t>
            </w:r>
          </w:p>
          <w:p w:rsidR="0016695C" w:rsidRPr="001729A4" w:rsidRDefault="0016695C" w:rsidP="00A35F26">
            <w:pPr>
              <w:pStyle w:val="ListParagraph"/>
              <w:spacing w:before="120" w:after="120"/>
              <w:ind w:left="360"/>
              <w:jc w:val="both"/>
              <w:rPr>
                <w:rStyle w:val="tax1"/>
                <w:rFonts w:cs="Arial"/>
                <w:sz w:val="32"/>
                <w:szCs w:val="32"/>
              </w:rPr>
            </w:pPr>
          </w:p>
        </w:tc>
      </w:tr>
    </w:tbl>
    <w:p w:rsidR="0016695C" w:rsidRDefault="0016695C" w:rsidP="0016695C">
      <w:pPr>
        <w:shd w:val="clear" w:color="auto" w:fill="FFFFFF"/>
        <w:spacing w:after="0"/>
        <w:rPr>
          <w:rStyle w:val="tax1"/>
          <w:rFonts w:asciiTheme="minorHAnsi" w:hAnsiTheme="minorHAnsi" w:cs="Arial"/>
          <w:sz w:val="24"/>
          <w:szCs w:val="24"/>
          <w:lang w:val="ro-RO"/>
        </w:rPr>
      </w:pPr>
      <w:r w:rsidRPr="007F3713">
        <w:rPr>
          <w:rStyle w:val="tax1"/>
          <w:rFonts w:asciiTheme="minorHAnsi" w:hAnsiTheme="minorHAnsi" w:cs="Arial"/>
          <w:sz w:val="24"/>
          <w:szCs w:val="24"/>
          <w:lang w:val="ro-RO"/>
        </w:rPr>
        <w:t>NOTĂ:</w:t>
      </w:r>
    </w:p>
    <w:p w:rsidR="0016695C" w:rsidRDefault="0016695C" w:rsidP="00A35F26">
      <w:pPr>
        <w:pStyle w:val="ListParagraph"/>
        <w:numPr>
          <w:ilvl w:val="0"/>
          <w:numId w:val="9"/>
        </w:numPr>
        <w:shd w:val="clear" w:color="auto" w:fill="FFFFFF"/>
        <w:spacing w:after="0"/>
        <w:jc w:val="both"/>
        <w:rPr>
          <w:rStyle w:val="tax1"/>
          <w:rFonts w:cs="Arial"/>
          <w:sz w:val="24"/>
          <w:szCs w:val="24"/>
        </w:rPr>
      </w:pPr>
      <w:r w:rsidRPr="00B464F8">
        <w:rPr>
          <w:rStyle w:val="tax1"/>
          <w:rFonts w:cs="Arial"/>
          <w:sz w:val="24"/>
          <w:szCs w:val="24"/>
        </w:rPr>
        <w:t xml:space="preserve">Competențele de emitere a avizelor de gospodărire a apelor de către Sistemele de Gospodărire a Apelor se stabilesc prin Decizia Directorului Administrației Bazinale de Apă. </w:t>
      </w:r>
    </w:p>
    <w:p w:rsidR="00B464F8" w:rsidRPr="00B464F8" w:rsidRDefault="00B464F8" w:rsidP="00A35F26">
      <w:pPr>
        <w:pStyle w:val="ListParagraph"/>
        <w:numPr>
          <w:ilvl w:val="0"/>
          <w:numId w:val="9"/>
        </w:numPr>
        <w:shd w:val="clear" w:color="auto" w:fill="FFFFFF"/>
        <w:spacing w:after="0"/>
        <w:jc w:val="both"/>
        <w:rPr>
          <w:rStyle w:val="tax1"/>
          <w:rFonts w:cs="Arial"/>
          <w:sz w:val="24"/>
          <w:szCs w:val="24"/>
        </w:rPr>
      </w:pPr>
      <w:r w:rsidRPr="007F3713">
        <w:rPr>
          <w:rFonts w:cs="Arial"/>
          <w:b/>
          <w:bCs/>
          <w:sz w:val="24"/>
          <w:szCs w:val="24"/>
        </w:rPr>
        <w:t>Parcurgerea procedurii de emitere a avizului de gospodărire a apelor poate fi delegat</w:t>
      </w:r>
      <w:r>
        <w:rPr>
          <w:rFonts w:cs="Arial"/>
          <w:b/>
          <w:bCs/>
          <w:sz w:val="24"/>
          <w:szCs w:val="24"/>
        </w:rPr>
        <w:t>ă</w:t>
      </w:r>
      <w:r w:rsidRPr="007F3713">
        <w:rPr>
          <w:rFonts w:cs="Arial"/>
          <w:b/>
          <w:bCs/>
          <w:sz w:val="24"/>
          <w:szCs w:val="24"/>
        </w:rPr>
        <w:t xml:space="preserve">, </w:t>
      </w:r>
      <w:r>
        <w:rPr>
          <w:rFonts w:cs="Arial"/>
          <w:b/>
          <w:bCs/>
          <w:sz w:val="24"/>
          <w:szCs w:val="24"/>
        </w:rPr>
        <w:t>î</w:t>
      </w:r>
      <w:r w:rsidRPr="007F3713">
        <w:rPr>
          <w:rFonts w:cs="Arial"/>
          <w:b/>
          <w:bCs/>
          <w:sz w:val="24"/>
          <w:szCs w:val="24"/>
        </w:rPr>
        <w:t xml:space="preserve">n totalitate sau </w:t>
      </w:r>
      <w:r>
        <w:rPr>
          <w:rFonts w:cs="Arial"/>
          <w:b/>
          <w:bCs/>
          <w:sz w:val="24"/>
          <w:szCs w:val="24"/>
        </w:rPr>
        <w:t>î</w:t>
      </w:r>
      <w:r w:rsidRPr="007F3713">
        <w:rPr>
          <w:rFonts w:cs="Arial"/>
          <w:b/>
          <w:bCs/>
          <w:sz w:val="24"/>
          <w:szCs w:val="24"/>
        </w:rPr>
        <w:t>n parte</w:t>
      </w:r>
      <w:r>
        <w:rPr>
          <w:rFonts w:cs="Arial"/>
          <w:b/>
          <w:bCs/>
          <w:sz w:val="24"/>
          <w:szCs w:val="24"/>
        </w:rPr>
        <w:t xml:space="preserve"> </w:t>
      </w:r>
      <w:r w:rsidRPr="007F3713">
        <w:rPr>
          <w:rFonts w:cs="Arial"/>
          <w:b/>
          <w:bCs/>
          <w:sz w:val="24"/>
          <w:szCs w:val="24"/>
        </w:rPr>
        <w:t>de c</w:t>
      </w:r>
      <w:r>
        <w:rPr>
          <w:rFonts w:cs="Arial"/>
          <w:b/>
          <w:bCs/>
          <w:sz w:val="24"/>
          <w:szCs w:val="24"/>
        </w:rPr>
        <w:t>ă</w:t>
      </w:r>
      <w:r w:rsidRPr="007F3713">
        <w:rPr>
          <w:rFonts w:cs="Arial"/>
          <w:b/>
          <w:bCs/>
          <w:sz w:val="24"/>
          <w:szCs w:val="24"/>
        </w:rPr>
        <w:t xml:space="preserve">tre </w:t>
      </w:r>
      <w:r>
        <w:rPr>
          <w:rFonts w:cs="Arial"/>
          <w:b/>
          <w:bCs/>
          <w:sz w:val="24"/>
          <w:szCs w:val="24"/>
        </w:rPr>
        <w:t>Administrația Națională ”Apele Române” la Administrațiile Bazinale de Apă.</w:t>
      </w:r>
    </w:p>
    <w:p w:rsidR="00B464F8" w:rsidRDefault="00B464F8" w:rsidP="00B464F8">
      <w:pPr>
        <w:shd w:val="clear" w:color="auto" w:fill="FFFFFF"/>
        <w:spacing w:after="0"/>
        <w:rPr>
          <w:rFonts w:asciiTheme="minorHAnsi" w:hAnsiTheme="minorHAnsi" w:cs="Arial"/>
          <w:b/>
          <w:bCs/>
          <w:sz w:val="24"/>
          <w:szCs w:val="24"/>
          <w:lang w:val="ro-RO"/>
        </w:rPr>
      </w:pPr>
    </w:p>
    <w:p w:rsidR="0016695C" w:rsidRDefault="0016695C" w:rsidP="00B464F8">
      <w:pPr>
        <w:shd w:val="clear" w:color="auto" w:fill="FFFFFF"/>
        <w:spacing w:after="0"/>
        <w:rPr>
          <w:rFonts w:asciiTheme="minorHAnsi" w:hAnsiTheme="minorHAnsi" w:cs="Arial"/>
          <w:b/>
          <w:bCs/>
          <w:sz w:val="24"/>
          <w:szCs w:val="24"/>
          <w:lang w:val="ro-RO"/>
        </w:rPr>
      </w:pPr>
    </w:p>
    <w:p w:rsidR="0016695C" w:rsidRPr="007F3713" w:rsidRDefault="0016695C" w:rsidP="0016695C">
      <w:pPr>
        <w:shd w:val="clear" w:color="auto" w:fill="FFFFFF"/>
        <w:spacing w:before="120" w:after="120"/>
        <w:jc w:val="both"/>
        <w:rPr>
          <w:rStyle w:val="tax1"/>
          <w:rFonts w:asciiTheme="minorHAnsi" w:hAnsiTheme="minorHAnsi" w:cs="Arial"/>
          <w:sz w:val="24"/>
          <w:szCs w:val="24"/>
          <w:lang w:val="ro-RO"/>
        </w:rPr>
      </w:pPr>
    </w:p>
    <w:p w:rsidR="007F3713" w:rsidRPr="007F3713" w:rsidRDefault="007F3713">
      <w:pPr>
        <w:shd w:val="clear" w:color="auto" w:fill="FFFFFF"/>
        <w:spacing w:before="120" w:after="120"/>
        <w:jc w:val="both"/>
        <w:rPr>
          <w:rStyle w:val="tax1"/>
          <w:rFonts w:asciiTheme="minorHAnsi" w:hAnsiTheme="minorHAnsi" w:cs="Arial"/>
          <w:sz w:val="24"/>
          <w:szCs w:val="24"/>
          <w:lang w:val="ro-RO"/>
        </w:rPr>
      </w:pPr>
    </w:p>
    <w:sectPr w:rsidR="007F3713" w:rsidRPr="007F3713" w:rsidSect="00E0222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2C8" w:rsidRDefault="009E02C8" w:rsidP="00BD036C">
      <w:pPr>
        <w:spacing w:after="0" w:line="240" w:lineRule="auto"/>
      </w:pPr>
      <w:r>
        <w:separator/>
      </w:r>
    </w:p>
  </w:endnote>
  <w:endnote w:type="continuationSeparator" w:id="0">
    <w:p w:rsidR="009E02C8" w:rsidRDefault="009E02C8" w:rsidP="00BD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2C8" w:rsidRDefault="009E02C8" w:rsidP="00BD036C">
      <w:pPr>
        <w:spacing w:after="0" w:line="240" w:lineRule="auto"/>
      </w:pPr>
      <w:r>
        <w:separator/>
      </w:r>
    </w:p>
  </w:footnote>
  <w:footnote w:type="continuationSeparator" w:id="0">
    <w:p w:rsidR="009E02C8" w:rsidRDefault="009E02C8" w:rsidP="00BD0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644A6"/>
    <w:multiLevelType w:val="hybridMultilevel"/>
    <w:tmpl w:val="948A1B4E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203F4A"/>
    <w:multiLevelType w:val="hybridMultilevel"/>
    <w:tmpl w:val="E18EA348"/>
    <w:lvl w:ilvl="0" w:tplc="F1DC100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DE3D54"/>
    <w:multiLevelType w:val="hybridMultilevel"/>
    <w:tmpl w:val="16BCAB62"/>
    <w:lvl w:ilvl="0" w:tplc="F1DC10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A150B"/>
    <w:multiLevelType w:val="hybridMultilevel"/>
    <w:tmpl w:val="3580C31C"/>
    <w:lvl w:ilvl="0" w:tplc="6F9EA3AE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514627F4"/>
    <w:multiLevelType w:val="hybridMultilevel"/>
    <w:tmpl w:val="64769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A7689"/>
    <w:multiLevelType w:val="hybridMultilevel"/>
    <w:tmpl w:val="78CED49A"/>
    <w:lvl w:ilvl="0" w:tplc="99EA2AF8">
      <w:start w:val="1"/>
      <w:numFmt w:val="lowerLetter"/>
      <w:lvlText w:val="%1)"/>
      <w:lvlJc w:val="left"/>
      <w:pPr>
        <w:ind w:left="139" w:hanging="238"/>
        <w:jc w:val="left"/>
      </w:pPr>
      <w:rPr>
        <w:rFonts w:ascii="Calibri" w:eastAsia="Calibri" w:hAnsi="Calibri" w:cs="Calibri" w:hint="default"/>
        <w:w w:val="91"/>
        <w:sz w:val="24"/>
        <w:szCs w:val="24"/>
      </w:rPr>
    </w:lvl>
    <w:lvl w:ilvl="1" w:tplc="BAFE53C0">
      <w:start w:val="1"/>
      <w:numFmt w:val="bullet"/>
      <w:lvlText w:val="•"/>
      <w:lvlJc w:val="left"/>
      <w:pPr>
        <w:ind w:left="1194" w:hanging="238"/>
      </w:pPr>
      <w:rPr>
        <w:rFonts w:hint="default"/>
      </w:rPr>
    </w:lvl>
    <w:lvl w:ilvl="2" w:tplc="6826E0B0">
      <w:start w:val="1"/>
      <w:numFmt w:val="bullet"/>
      <w:lvlText w:val="•"/>
      <w:lvlJc w:val="left"/>
      <w:pPr>
        <w:ind w:left="2248" w:hanging="238"/>
      </w:pPr>
      <w:rPr>
        <w:rFonts w:hint="default"/>
      </w:rPr>
    </w:lvl>
    <w:lvl w:ilvl="3" w:tplc="4782C28C">
      <w:start w:val="1"/>
      <w:numFmt w:val="bullet"/>
      <w:lvlText w:val="•"/>
      <w:lvlJc w:val="left"/>
      <w:pPr>
        <w:ind w:left="3302" w:hanging="238"/>
      </w:pPr>
      <w:rPr>
        <w:rFonts w:hint="default"/>
      </w:rPr>
    </w:lvl>
    <w:lvl w:ilvl="4" w:tplc="09402536">
      <w:start w:val="1"/>
      <w:numFmt w:val="bullet"/>
      <w:lvlText w:val="•"/>
      <w:lvlJc w:val="left"/>
      <w:pPr>
        <w:ind w:left="4356" w:hanging="238"/>
      </w:pPr>
      <w:rPr>
        <w:rFonts w:hint="default"/>
      </w:rPr>
    </w:lvl>
    <w:lvl w:ilvl="5" w:tplc="FA401032">
      <w:start w:val="1"/>
      <w:numFmt w:val="bullet"/>
      <w:lvlText w:val="•"/>
      <w:lvlJc w:val="left"/>
      <w:pPr>
        <w:ind w:left="5410" w:hanging="238"/>
      </w:pPr>
      <w:rPr>
        <w:rFonts w:hint="default"/>
      </w:rPr>
    </w:lvl>
    <w:lvl w:ilvl="6" w:tplc="A044E362">
      <w:start w:val="1"/>
      <w:numFmt w:val="bullet"/>
      <w:lvlText w:val="•"/>
      <w:lvlJc w:val="left"/>
      <w:pPr>
        <w:ind w:left="6464" w:hanging="238"/>
      </w:pPr>
      <w:rPr>
        <w:rFonts w:hint="default"/>
      </w:rPr>
    </w:lvl>
    <w:lvl w:ilvl="7" w:tplc="D49AC0D2">
      <w:start w:val="1"/>
      <w:numFmt w:val="bullet"/>
      <w:lvlText w:val="•"/>
      <w:lvlJc w:val="left"/>
      <w:pPr>
        <w:ind w:left="7518" w:hanging="238"/>
      </w:pPr>
      <w:rPr>
        <w:rFonts w:hint="default"/>
      </w:rPr>
    </w:lvl>
    <w:lvl w:ilvl="8" w:tplc="B5D0A1EC">
      <w:start w:val="1"/>
      <w:numFmt w:val="bullet"/>
      <w:lvlText w:val="•"/>
      <w:lvlJc w:val="left"/>
      <w:pPr>
        <w:ind w:left="8572" w:hanging="238"/>
      </w:pPr>
      <w:rPr>
        <w:rFonts w:hint="default"/>
      </w:rPr>
    </w:lvl>
  </w:abstractNum>
  <w:abstractNum w:abstractNumId="6" w15:restartNumberingAfterBreak="0">
    <w:nsid w:val="5B1B5C94"/>
    <w:multiLevelType w:val="hybridMultilevel"/>
    <w:tmpl w:val="CCF42AB2"/>
    <w:lvl w:ilvl="0" w:tplc="6F9EA3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D93D50"/>
    <w:multiLevelType w:val="hybridMultilevel"/>
    <w:tmpl w:val="C50CE8FC"/>
    <w:lvl w:ilvl="0" w:tplc="F1DC100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4C5645"/>
    <w:multiLevelType w:val="hybridMultilevel"/>
    <w:tmpl w:val="CC66E368"/>
    <w:lvl w:ilvl="0" w:tplc="6F9EA3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CF2"/>
    <w:rsid w:val="000376C5"/>
    <w:rsid w:val="00060E06"/>
    <w:rsid w:val="0006359C"/>
    <w:rsid w:val="0016695C"/>
    <w:rsid w:val="001729A4"/>
    <w:rsid w:val="00182A6E"/>
    <w:rsid w:val="001A0269"/>
    <w:rsid w:val="0020752A"/>
    <w:rsid w:val="00235306"/>
    <w:rsid w:val="002A3AA5"/>
    <w:rsid w:val="002E6B9F"/>
    <w:rsid w:val="00317774"/>
    <w:rsid w:val="003B0FAD"/>
    <w:rsid w:val="003C1BC9"/>
    <w:rsid w:val="003D115E"/>
    <w:rsid w:val="003F30BB"/>
    <w:rsid w:val="00401964"/>
    <w:rsid w:val="004467A2"/>
    <w:rsid w:val="00534DF5"/>
    <w:rsid w:val="00614030"/>
    <w:rsid w:val="006907F2"/>
    <w:rsid w:val="006B3580"/>
    <w:rsid w:val="006C11EA"/>
    <w:rsid w:val="006E13F7"/>
    <w:rsid w:val="00701CF2"/>
    <w:rsid w:val="00744652"/>
    <w:rsid w:val="007F3713"/>
    <w:rsid w:val="007F64FF"/>
    <w:rsid w:val="0080387A"/>
    <w:rsid w:val="00841B0D"/>
    <w:rsid w:val="00882E1F"/>
    <w:rsid w:val="00890A7A"/>
    <w:rsid w:val="00965D20"/>
    <w:rsid w:val="009E02C8"/>
    <w:rsid w:val="00A169CF"/>
    <w:rsid w:val="00A35F26"/>
    <w:rsid w:val="00AC2098"/>
    <w:rsid w:val="00B464F8"/>
    <w:rsid w:val="00B470E8"/>
    <w:rsid w:val="00B930AA"/>
    <w:rsid w:val="00BB2CE9"/>
    <w:rsid w:val="00BB77A3"/>
    <w:rsid w:val="00BD036C"/>
    <w:rsid w:val="00BD5719"/>
    <w:rsid w:val="00C65706"/>
    <w:rsid w:val="00C7134B"/>
    <w:rsid w:val="00CE3F5F"/>
    <w:rsid w:val="00E02228"/>
    <w:rsid w:val="00E4268F"/>
    <w:rsid w:val="00E82F73"/>
    <w:rsid w:val="00E90A63"/>
    <w:rsid w:val="00EA0246"/>
    <w:rsid w:val="00EF4D08"/>
    <w:rsid w:val="00F643E9"/>
    <w:rsid w:val="00F83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BFE914-663C-4F7F-9C7E-643FF93D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228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A63"/>
    <w:pPr>
      <w:ind w:left="720"/>
      <w:contextualSpacing/>
    </w:pPr>
    <w:rPr>
      <w:rFonts w:asciiTheme="minorHAnsi" w:eastAsiaTheme="minorHAnsi" w:hAnsiTheme="minorHAnsi" w:cstheme="minorBidi"/>
      <w:lang w:val="ro-RO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36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ro-RO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3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036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196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ro-RO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01964"/>
  </w:style>
  <w:style w:type="paragraph" w:styleId="Footer">
    <w:name w:val="footer"/>
    <w:basedOn w:val="Normal"/>
    <w:link w:val="FooterChar"/>
    <w:uiPriority w:val="99"/>
    <w:unhideWhenUsed/>
    <w:rsid w:val="0040196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ro-RO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01964"/>
  </w:style>
  <w:style w:type="paragraph" w:styleId="BalloonText">
    <w:name w:val="Balloon Text"/>
    <w:basedOn w:val="Normal"/>
    <w:link w:val="BalloonTextChar"/>
    <w:uiPriority w:val="99"/>
    <w:semiHidden/>
    <w:unhideWhenUsed/>
    <w:rsid w:val="00401964"/>
    <w:pPr>
      <w:spacing w:after="0" w:line="240" w:lineRule="auto"/>
    </w:pPr>
    <w:rPr>
      <w:rFonts w:ascii="Tahoma" w:eastAsiaTheme="minorHAnsi" w:hAnsi="Tahoma" w:cs="Tahoma"/>
      <w:sz w:val="16"/>
      <w:szCs w:val="16"/>
      <w:lang w:val="ro-RO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9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1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4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DF5"/>
    <w:rPr>
      <w:sz w:val="20"/>
      <w:szCs w:val="20"/>
    </w:rPr>
  </w:style>
  <w:style w:type="character" w:customStyle="1" w:styleId="tax1">
    <w:name w:val="tax1"/>
    <w:basedOn w:val="DefaultParagraphFont"/>
    <w:rsid w:val="00E02228"/>
    <w:rPr>
      <w:b/>
      <w:bCs/>
      <w:sz w:val="26"/>
      <w:szCs w:val="26"/>
    </w:rPr>
  </w:style>
  <w:style w:type="character" w:styleId="Hyperlink">
    <w:name w:val="Hyperlink"/>
    <w:basedOn w:val="DefaultParagraphFont"/>
    <w:rsid w:val="00E02228"/>
    <w:rPr>
      <w:color w:val="0000FF"/>
      <w:u w:val="single"/>
    </w:rPr>
  </w:style>
  <w:style w:type="character" w:customStyle="1" w:styleId="tpa1">
    <w:name w:val="tpa1"/>
    <w:basedOn w:val="DefaultParagraphFont"/>
    <w:rsid w:val="00E02228"/>
  </w:style>
  <w:style w:type="paragraph" w:styleId="BodyText">
    <w:name w:val="Body Text"/>
    <w:basedOn w:val="Normal"/>
    <w:link w:val="BodyTextChar"/>
    <w:uiPriority w:val="99"/>
    <w:semiHidden/>
    <w:unhideWhenUsed/>
    <w:rsid w:val="007F37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F3713"/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Anexa nr. 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86B59A-974C-4064-BF19-5428D732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de emitere a avizului de gospodărirea a apelor</vt:lpstr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de emitere a avizului de gospodărirea a apelor</dc:title>
  <dc:creator>valerica.grigoras</dc:creator>
  <cp:lastModifiedBy>ANE Apele Romane</cp:lastModifiedBy>
  <cp:revision>3</cp:revision>
  <cp:lastPrinted>2018-04-19T11:07:00Z</cp:lastPrinted>
  <dcterms:created xsi:type="dcterms:W3CDTF">2019-04-17T08:08:00Z</dcterms:created>
  <dcterms:modified xsi:type="dcterms:W3CDTF">2019-04-17T08:09:00Z</dcterms:modified>
</cp:coreProperties>
</file>