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94" w:rsidRDefault="00776F94" w:rsidP="0031366E">
      <w:pPr>
        <w:spacing w:line="240" w:lineRule="auto"/>
        <w:jc w:val="center"/>
        <w:outlineLvl w:val="0"/>
        <w:rPr>
          <w:rFonts w:ascii="Times New Roman" w:hAnsi="Times New Roman"/>
          <w:b/>
          <w:sz w:val="24"/>
          <w:szCs w:val="24"/>
        </w:rPr>
      </w:pPr>
    </w:p>
    <w:p w:rsidR="00776F94" w:rsidRDefault="00D82A7A" w:rsidP="0031366E">
      <w:pPr>
        <w:spacing w:line="240" w:lineRule="auto"/>
        <w:jc w:val="center"/>
        <w:outlineLvl w:val="0"/>
        <w:rPr>
          <w:rFonts w:ascii="Times New Roman" w:hAnsi="Times New Roman"/>
          <w:b/>
          <w:sz w:val="24"/>
          <w:szCs w:val="24"/>
        </w:rPr>
      </w:pPr>
      <w:r w:rsidRPr="00E81280">
        <w:rPr>
          <w:rFonts w:ascii="Times New Roman" w:hAnsi="Times New Roman"/>
          <w:b/>
          <w:sz w:val="24"/>
          <w:szCs w:val="24"/>
        </w:rPr>
        <w:t>NOTĂ DE FUNDAMENTARE</w:t>
      </w:r>
    </w:p>
    <w:p w:rsidR="0031366E" w:rsidRPr="0031366E" w:rsidRDefault="0031366E" w:rsidP="0031366E">
      <w:pPr>
        <w:spacing w:line="240" w:lineRule="auto"/>
        <w:jc w:val="center"/>
        <w:outlineLvl w:val="0"/>
        <w:rPr>
          <w:rFonts w:ascii="Times New Roman" w:hAnsi="Times New Roman"/>
          <w:b/>
          <w:sz w:val="24"/>
          <w:szCs w:val="24"/>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0"/>
        <w:gridCol w:w="13"/>
        <w:gridCol w:w="1795"/>
        <w:gridCol w:w="892"/>
        <w:gridCol w:w="8"/>
        <w:gridCol w:w="1072"/>
        <w:gridCol w:w="974"/>
        <w:gridCol w:w="16"/>
        <w:gridCol w:w="990"/>
        <w:gridCol w:w="990"/>
        <w:gridCol w:w="1140"/>
      </w:tblGrid>
      <w:tr w:rsidR="00D82A7A" w:rsidRPr="00E81280" w:rsidTr="00C23EE4">
        <w:trPr>
          <w:trHeight w:val="274"/>
        </w:trPr>
        <w:tc>
          <w:tcPr>
            <w:tcW w:w="10560" w:type="dxa"/>
            <w:gridSpan w:val="11"/>
          </w:tcPr>
          <w:p w:rsidR="00D82A7A" w:rsidRPr="00E81280" w:rsidRDefault="00D82A7A" w:rsidP="0031366E">
            <w:pPr>
              <w:spacing w:line="240" w:lineRule="auto"/>
              <w:rPr>
                <w:rFonts w:ascii="Times New Roman" w:hAnsi="Times New Roman"/>
                <w:b/>
                <w:sz w:val="24"/>
                <w:szCs w:val="24"/>
              </w:rPr>
            </w:pPr>
            <w:r w:rsidRPr="00E81280">
              <w:rPr>
                <w:rFonts w:ascii="Times New Roman" w:hAnsi="Times New Roman"/>
                <w:b/>
                <w:sz w:val="24"/>
                <w:szCs w:val="24"/>
              </w:rPr>
              <w:t>Secţiunea 1: Titlul proiectului de act normativ</w:t>
            </w:r>
          </w:p>
        </w:tc>
      </w:tr>
      <w:tr w:rsidR="00D82A7A" w:rsidRPr="00E81280" w:rsidTr="00C23EE4">
        <w:trPr>
          <w:trHeight w:val="503"/>
        </w:trPr>
        <w:tc>
          <w:tcPr>
            <w:tcW w:w="10560" w:type="dxa"/>
            <w:gridSpan w:val="11"/>
          </w:tcPr>
          <w:p w:rsidR="00D82A7A" w:rsidRDefault="00D82A7A" w:rsidP="0031366E">
            <w:pPr>
              <w:spacing w:line="240" w:lineRule="auto"/>
              <w:jc w:val="center"/>
              <w:rPr>
                <w:rFonts w:ascii="Times New Roman" w:hAnsi="Times New Roman"/>
                <w:b/>
                <w:sz w:val="24"/>
                <w:szCs w:val="24"/>
              </w:rPr>
            </w:pPr>
            <w:r w:rsidRPr="00E81280">
              <w:rPr>
                <w:rFonts w:ascii="Times New Roman" w:hAnsi="Times New Roman"/>
                <w:b/>
                <w:sz w:val="24"/>
                <w:szCs w:val="24"/>
              </w:rPr>
              <w:t>HOTĂRÂRE A GUVERNULUI</w:t>
            </w:r>
          </w:p>
          <w:p w:rsidR="002719DD" w:rsidRPr="00F2260A" w:rsidRDefault="002719DD" w:rsidP="002719DD">
            <w:pPr>
              <w:spacing w:after="0" w:line="240" w:lineRule="auto"/>
              <w:jc w:val="center"/>
              <w:rPr>
                <w:rFonts w:ascii="Times New Roman" w:hAnsi="Times New Roman" w:cs="Times New Roman"/>
                <w:b/>
                <w:sz w:val="24"/>
                <w:szCs w:val="24"/>
              </w:rPr>
            </w:pPr>
            <w:r w:rsidRPr="00F2260A">
              <w:rPr>
                <w:rFonts w:ascii="Times New Roman" w:hAnsi="Times New Roman" w:cs="Times New Roman"/>
                <w:b/>
                <w:sz w:val="24"/>
                <w:szCs w:val="24"/>
              </w:rPr>
              <w:t>pentru aprobarea scoaterii definitive din fondul</w:t>
            </w:r>
            <w:r>
              <w:rPr>
                <w:rFonts w:ascii="Times New Roman" w:hAnsi="Times New Roman" w:cs="Times New Roman"/>
                <w:b/>
                <w:sz w:val="24"/>
                <w:szCs w:val="24"/>
              </w:rPr>
              <w:t xml:space="preserve"> forestier naţional, fără compensare, de către Societatea</w:t>
            </w:r>
            <w:r w:rsidRPr="00F2260A">
              <w:rPr>
                <w:rFonts w:ascii="Times New Roman" w:hAnsi="Times New Roman" w:cs="Times New Roman"/>
                <w:b/>
                <w:sz w:val="24"/>
                <w:szCs w:val="24"/>
              </w:rPr>
              <w:t xml:space="preserve"> Complexul Energetic Oltenia </w:t>
            </w:r>
            <w:r>
              <w:rPr>
                <w:rFonts w:ascii="Times New Roman" w:hAnsi="Times New Roman" w:cs="Times New Roman"/>
                <w:b/>
                <w:sz w:val="24"/>
                <w:szCs w:val="24"/>
              </w:rPr>
              <w:t>SA a terenului în suprafaţă de 28,5663</w:t>
            </w:r>
            <w:r w:rsidRPr="00F2260A">
              <w:rPr>
                <w:rFonts w:ascii="Times New Roman" w:hAnsi="Times New Roman" w:cs="Times New Roman"/>
                <w:b/>
                <w:sz w:val="24"/>
                <w:szCs w:val="24"/>
              </w:rPr>
              <w:t xml:space="preserve"> ha, în vederea realizării obiectivului </w:t>
            </w:r>
            <w:r w:rsidRPr="00F2260A">
              <w:rPr>
                <w:rFonts w:ascii="Times New Roman" w:hAnsi="Times New Roman" w:cs="Times New Roman"/>
                <w:b/>
                <w:bCs/>
                <w:sz w:val="24"/>
                <w:szCs w:val="24"/>
              </w:rPr>
              <w:t>„</w:t>
            </w:r>
            <w:r>
              <w:rPr>
                <w:rFonts w:ascii="Times New Roman" w:hAnsi="Times New Roman" w:cs="Times New Roman"/>
                <w:b/>
                <w:bCs/>
                <w:sz w:val="24"/>
                <w:szCs w:val="24"/>
              </w:rPr>
              <w:t>Lucrări pentru punerea în funcțiune a capacității finale de producție de 8.500 mii tone/an lignit la Cariera Jilț Sud</w:t>
            </w:r>
            <w:r w:rsidRPr="00F2260A">
              <w:rPr>
                <w:rFonts w:ascii="Times New Roman" w:hAnsi="Times New Roman" w:cs="Times New Roman"/>
                <w:b/>
                <w:sz w:val="24"/>
                <w:szCs w:val="24"/>
              </w:rPr>
              <w:t>”</w:t>
            </w:r>
          </w:p>
          <w:p w:rsidR="0031366E" w:rsidRPr="0031366E" w:rsidRDefault="0031366E" w:rsidP="0031366E">
            <w:pPr>
              <w:spacing w:after="0" w:line="240" w:lineRule="auto"/>
              <w:jc w:val="center"/>
              <w:rPr>
                <w:rFonts w:ascii="Times New Roman" w:hAnsi="Times New Roman" w:cs="Times New Roman"/>
                <w:b/>
                <w:sz w:val="24"/>
                <w:szCs w:val="24"/>
              </w:rPr>
            </w:pPr>
          </w:p>
        </w:tc>
      </w:tr>
      <w:tr w:rsidR="00D82A7A" w:rsidRPr="00E81280" w:rsidTr="00C23EE4">
        <w:trPr>
          <w:trHeight w:val="503"/>
        </w:trPr>
        <w:tc>
          <w:tcPr>
            <w:tcW w:w="10560" w:type="dxa"/>
            <w:gridSpan w:val="11"/>
          </w:tcPr>
          <w:p w:rsidR="00D82A7A" w:rsidRDefault="00D82A7A" w:rsidP="0031366E">
            <w:pPr>
              <w:spacing w:line="240" w:lineRule="auto"/>
              <w:rPr>
                <w:rFonts w:ascii="Times New Roman" w:hAnsi="Times New Roman"/>
                <w:b/>
                <w:sz w:val="24"/>
                <w:szCs w:val="24"/>
              </w:rPr>
            </w:pPr>
            <w:r w:rsidRPr="00E81280">
              <w:rPr>
                <w:rFonts w:ascii="Times New Roman" w:hAnsi="Times New Roman"/>
                <w:b/>
                <w:sz w:val="24"/>
                <w:szCs w:val="24"/>
              </w:rPr>
              <w:t xml:space="preserve">Secţiunea </w:t>
            </w:r>
            <w:r>
              <w:rPr>
                <w:rFonts w:ascii="Times New Roman" w:hAnsi="Times New Roman"/>
                <w:b/>
                <w:sz w:val="24"/>
                <w:szCs w:val="24"/>
              </w:rPr>
              <w:t>a 2-a</w:t>
            </w:r>
            <w:r w:rsidRPr="00E81280">
              <w:rPr>
                <w:rFonts w:ascii="Times New Roman" w:hAnsi="Times New Roman"/>
                <w:b/>
                <w:sz w:val="24"/>
                <w:szCs w:val="24"/>
              </w:rPr>
              <w:t xml:space="preserve">: </w:t>
            </w:r>
            <w:r w:rsidRPr="00AB6476">
              <w:rPr>
                <w:rFonts w:ascii="Times New Roman" w:hAnsi="Times New Roman"/>
                <w:b/>
                <w:sz w:val="24"/>
                <w:szCs w:val="24"/>
              </w:rPr>
              <w:t>Motivul emiterii actului normativ</w:t>
            </w:r>
          </w:p>
        </w:tc>
      </w:tr>
      <w:tr w:rsidR="00D82A7A" w:rsidRPr="00E81280" w:rsidTr="00C23EE4">
        <w:trPr>
          <w:trHeight w:val="503"/>
        </w:trPr>
        <w:tc>
          <w:tcPr>
            <w:tcW w:w="2683" w:type="dxa"/>
            <w:gridSpan w:val="2"/>
          </w:tcPr>
          <w:p w:rsidR="00D82A7A" w:rsidRPr="00E81280" w:rsidRDefault="00D82A7A" w:rsidP="00C23EE4">
            <w:pPr>
              <w:rPr>
                <w:rFonts w:ascii="Times New Roman" w:hAnsi="Times New Roman"/>
                <w:b/>
                <w:sz w:val="24"/>
                <w:szCs w:val="24"/>
              </w:rPr>
            </w:pPr>
            <w:r w:rsidRPr="00E81280">
              <w:rPr>
                <w:rFonts w:ascii="Times New Roman" w:hAnsi="Times New Roman"/>
                <w:sz w:val="24"/>
                <w:szCs w:val="24"/>
              </w:rPr>
              <w:t>1. Descrierea situaţiei actuale</w:t>
            </w:r>
          </w:p>
        </w:tc>
        <w:tc>
          <w:tcPr>
            <w:tcW w:w="7877" w:type="dxa"/>
            <w:gridSpan w:val="9"/>
          </w:tcPr>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Potrivit art. 2 alin. (1) din </w:t>
            </w:r>
            <w:r w:rsidRPr="001E7B19">
              <w:rPr>
                <w:rFonts w:ascii="Times New Roman" w:hAnsi="Times New Roman" w:cs="Times New Roman"/>
                <w:i/>
                <w:sz w:val="24"/>
                <w:szCs w:val="24"/>
              </w:rPr>
              <w:t>Legea minelor 85/2003</w:t>
            </w:r>
            <w:r w:rsidRPr="0037504C">
              <w:rPr>
                <w:rFonts w:ascii="Times New Roman" w:hAnsi="Times New Roman" w:cs="Times New Roman"/>
                <w:sz w:val="24"/>
                <w:szCs w:val="24"/>
              </w:rPr>
              <w:t>,</w:t>
            </w:r>
            <w:r w:rsidR="0001197E" w:rsidRPr="0037504C">
              <w:rPr>
                <w:rFonts w:ascii="Times New Roman" w:hAnsi="Times New Roman" w:cs="Times New Roman"/>
                <w:sz w:val="24"/>
                <w:szCs w:val="24"/>
              </w:rPr>
              <w:t xml:space="preserve"> cu modificările și completările ulterioare,</w:t>
            </w:r>
            <w:r w:rsidRPr="0037504C">
              <w:rPr>
                <w:rFonts w:ascii="Times New Roman" w:hAnsi="Times New Roman" w:cs="Times New Roman"/>
                <w:sz w:val="24"/>
                <w:szCs w:val="24"/>
              </w:rPr>
              <w:t xml:space="preserve"> cărbunii fac parte din categoria resurselor minerale, fac obiectul exclusiv al proprietăţii publice şi aparţin statului român. </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Exploatarea resurselor minerale presupune ansamblul de lucrări executate în subteran şi/sau la suprafaţ</w:t>
            </w:r>
            <w:r w:rsidR="007820FC">
              <w:rPr>
                <w:rFonts w:ascii="Times New Roman" w:hAnsi="Times New Roman" w:cs="Times New Roman"/>
                <w:sz w:val="24"/>
                <w:szCs w:val="24"/>
              </w:rPr>
              <w:t>ă</w:t>
            </w:r>
            <w:r w:rsidRPr="0037504C">
              <w:rPr>
                <w:rFonts w:ascii="Times New Roman" w:hAnsi="Times New Roman" w:cs="Times New Roman"/>
                <w:sz w:val="24"/>
                <w:szCs w:val="24"/>
              </w:rPr>
              <w:t xml:space="preserve"> pentru extragerea resurselor minerale, prelucrarea şi livrarea acestora în forme specifice.</w:t>
            </w:r>
          </w:p>
          <w:p w:rsidR="008642E8" w:rsidRPr="0037504C" w:rsidRDefault="008642E8"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Lucrările miniere de interes național pentru exploatarea zăcămintelor de lignit, care se execută în baza unei licențe de exploatare de către operatorii economici aflați sub autoritatea Ministerului Energiei, în calitate de minister de resort</w:t>
            </w:r>
            <w:r w:rsidR="002D6183">
              <w:rPr>
                <w:rFonts w:ascii="Times New Roman" w:hAnsi="Times New Roman" w:cs="Times New Roman"/>
                <w:sz w:val="24"/>
                <w:szCs w:val="24"/>
              </w:rPr>
              <w:t>,</w:t>
            </w:r>
            <w:r w:rsidR="001D1EB9" w:rsidRPr="0037504C">
              <w:rPr>
                <w:rFonts w:ascii="Times New Roman" w:hAnsi="Times New Roman" w:cs="Times New Roman"/>
                <w:sz w:val="24"/>
                <w:szCs w:val="24"/>
              </w:rPr>
              <w:t xml:space="preserve"> sunt de utilitate publică</w:t>
            </w:r>
            <w:r w:rsidR="00AD358F">
              <w:rPr>
                <w:rFonts w:ascii="Times New Roman" w:hAnsi="Times New Roman" w:cs="Times New Roman"/>
                <w:sz w:val="24"/>
                <w:szCs w:val="24"/>
              </w:rPr>
              <w:t>,</w:t>
            </w:r>
            <w:r w:rsidR="001D1EB9" w:rsidRPr="0037504C">
              <w:rPr>
                <w:rFonts w:ascii="Times New Roman" w:hAnsi="Times New Roman" w:cs="Times New Roman"/>
                <w:sz w:val="24"/>
                <w:szCs w:val="24"/>
              </w:rPr>
              <w:t xml:space="preserve"> conform art. 2 alin. (1) lit e) </w:t>
            </w:r>
            <w:r w:rsidR="001D1EB9" w:rsidRPr="001E7B19">
              <w:rPr>
                <w:rFonts w:ascii="Times New Roman" w:hAnsi="Times New Roman" w:cs="Times New Roman"/>
                <w:i/>
                <w:sz w:val="24"/>
                <w:szCs w:val="24"/>
              </w:rPr>
              <w:t>din Legea nr. 255/2010 privind exproprierea pentru cauză de utilitate publică, necesară realizării unor obiective de interes național, județean și local</w:t>
            </w:r>
            <w:r w:rsidR="000B4DCF" w:rsidRPr="0037504C">
              <w:rPr>
                <w:rFonts w:ascii="Times New Roman" w:hAnsi="Times New Roman" w:cs="Times New Roman"/>
                <w:sz w:val="24"/>
                <w:szCs w:val="24"/>
              </w:rPr>
              <w:t>, cu modificările și completările ulterioare.</w:t>
            </w:r>
          </w:p>
          <w:p w:rsidR="000B4DCF" w:rsidRPr="0037504C" w:rsidRDefault="007649B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Articolul </w:t>
            </w:r>
            <w:r w:rsidR="000B4DCF" w:rsidRPr="0037504C">
              <w:rPr>
                <w:rFonts w:ascii="Times New Roman" w:hAnsi="Times New Roman" w:cs="Times New Roman"/>
                <w:sz w:val="24"/>
                <w:szCs w:val="24"/>
              </w:rPr>
              <w:t xml:space="preserve">2 alin. (2) din </w:t>
            </w:r>
            <w:r w:rsidRPr="001E7B19">
              <w:rPr>
                <w:rFonts w:ascii="Times New Roman" w:hAnsi="Times New Roman" w:cs="Times New Roman"/>
                <w:i/>
                <w:sz w:val="24"/>
                <w:szCs w:val="24"/>
              </w:rPr>
              <w:t xml:space="preserve">Normele metodologice </w:t>
            </w:r>
            <w:r w:rsidR="000B4DCF" w:rsidRPr="001E7B19">
              <w:rPr>
                <w:rFonts w:ascii="Times New Roman" w:hAnsi="Times New Roman" w:cs="Times New Roman"/>
                <w:i/>
                <w:sz w:val="24"/>
                <w:szCs w:val="24"/>
              </w:rPr>
              <w:t>de aplicarea </w:t>
            </w:r>
            <w:hyperlink r:id="rId5" w:history="1">
              <w:r w:rsidR="000B4DCF" w:rsidRPr="001E7B19">
                <w:rPr>
                  <w:rFonts w:ascii="Times New Roman" w:hAnsi="Times New Roman" w:cs="Times New Roman"/>
                  <w:i/>
                  <w:sz w:val="24"/>
                  <w:szCs w:val="24"/>
                </w:rPr>
                <w:t>Legii nr. 255/2010</w:t>
              </w:r>
            </w:hyperlink>
            <w:r w:rsidR="000B4DCF" w:rsidRPr="001E7B19">
              <w:rPr>
                <w:rFonts w:ascii="Times New Roman" w:hAnsi="Times New Roman" w:cs="Times New Roman"/>
                <w:i/>
                <w:sz w:val="24"/>
                <w:szCs w:val="24"/>
              </w:rPr>
              <w:t> privind exproprierea pentru cauză de utilitate publică, necesară realizării unor obiective de interes naţional, judeţean şi local</w:t>
            </w:r>
            <w:r w:rsidRPr="0037504C">
              <w:rPr>
                <w:rFonts w:ascii="Times New Roman" w:hAnsi="Times New Roman" w:cs="Times New Roman"/>
                <w:sz w:val="24"/>
                <w:szCs w:val="24"/>
              </w:rPr>
              <w:t>, aprobate prin Hotărârea Guvern</w:t>
            </w:r>
            <w:r w:rsidR="001E7B19">
              <w:rPr>
                <w:rFonts w:ascii="Times New Roman" w:hAnsi="Times New Roman" w:cs="Times New Roman"/>
                <w:sz w:val="24"/>
                <w:szCs w:val="24"/>
              </w:rPr>
              <w:t>ului</w:t>
            </w:r>
            <w:r w:rsidR="002D6183">
              <w:rPr>
                <w:rFonts w:ascii="Times New Roman" w:hAnsi="Times New Roman" w:cs="Times New Roman"/>
                <w:sz w:val="24"/>
                <w:szCs w:val="24"/>
              </w:rPr>
              <w:t xml:space="preserve">nr. </w:t>
            </w:r>
            <w:r w:rsidRPr="0037504C">
              <w:rPr>
                <w:rFonts w:ascii="Times New Roman" w:hAnsi="Times New Roman" w:cs="Times New Roman"/>
                <w:sz w:val="24"/>
                <w:szCs w:val="24"/>
              </w:rPr>
              <w:t xml:space="preserve">53/2010, </w:t>
            </w:r>
            <w:r w:rsidR="00372AA9" w:rsidRPr="0037504C">
              <w:rPr>
                <w:rFonts w:ascii="Times New Roman" w:hAnsi="Times New Roman" w:cs="Times New Roman"/>
                <w:sz w:val="24"/>
                <w:szCs w:val="24"/>
              </w:rPr>
              <w:t>stabilește:</w:t>
            </w:r>
            <w:r w:rsidRPr="0037504C">
              <w:rPr>
                <w:rFonts w:ascii="Times New Roman" w:hAnsi="Times New Roman" w:cs="Times New Roman"/>
                <w:sz w:val="24"/>
                <w:szCs w:val="24"/>
              </w:rPr>
              <w:t xml:space="preserve"> ”</w:t>
            </w:r>
            <w:r w:rsidR="000B4DCF" w:rsidRPr="001E7B19">
              <w:rPr>
                <w:rFonts w:ascii="Times New Roman" w:hAnsi="Times New Roman" w:cs="Times New Roman"/>
                <w:i/>
                <w:sz w:val="24"/>
                <w:szCs w:val="24"/>
              </w:rPr>
              <w:t>Sunt de interes naţional lucrările miniere executate de operatorii economici cu capital integral sau majoritar de stat, în baza unei licenţe de exploatare acordate potrivit prevederilor </w:t>
            </w:r>
            <w:hyperlink r:id="rId6" w:history="1">
              <w:r w:rsidR="000B4DCF" w:rsidRPr="001E7B19">
                <w:rPr>
                  <w:rFonts w:ascii="Times New Roman" w:hAnsi="Times New Roman" w:cs="Times New Roman"/>
                  <w:i/>
                  <w:sz w:val="24"/>
                  <w:szCs w:val="24"/>
                </w:rPr>
                <w:t>Legii minelor nr. 85/2003</w:t>
              </w:r>
            </w:hyperlink>
            <w:r w:rsidR="000B4DCF" w:rsidRPr="001E7B19">
              <w:rPr>
                <w:rFonts w:ascii="Times New Roman" w:hAnsi="Times New Roman" w:cs="Times New Roman"/>
                <w:i/>
                <w:sz w:val="24"/>
                <w:szCs w:val="24"/>
              </w:rPr>
              <w:t>, cu modificările şi completările ulterioare</w:t>
            </w:r>
            <w:r w:rsidR="000B4DCF" w:rsidRPr="0037504C">
              <w:rPr>
                <w:rFonts w:ascii="Times New Roman" w:hAnsi="Times New Roman" w:cs="Times New Roman"/>
                <w:sz w:val="24"/>
                <w:szCs w:val="24"/>
              </w:rPr>
              <w:t>, în vederea extracţiei lignitului (PCS &lt; 23.865 kj/kg) destinat producţiei de energie electrică şi termică.</w:t>
            </w:r>
          </w:p>
          <w:p w:rsidR="00AF2BDE" w:rsidRPr="0037504C" w:rsidRDefault="00372AA9"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Prin Hotărârea </w:t>
            </w:r>
            <w:r w:rsidR="001E7B19" w:rsidRPr="0037504C">
              <w:rPr>
                <w:rFonts w:ascii="Times New Roman" w:hAnsi="Times New Roman" w:cs="Times New Roman"/>
                <w:sz w:val="24"/>
                <w:szCs w:val="24"/>
              </w:rPr>
              <w:t>Guvern</w:t>
            </w:r>
            <w:r w:rsidR="001E7B19">
              <w:rPr>
                <w:rFonts w:ascii="Times New Roman" w:hAnsi="Times New Roman" w:cs="Times New Roman"/>
                <w:sz w:val="24"/>
                <w:szCs w:val="24"/>
              </w:rPr>
              <w:t xml:space="preserve">ului </w:t>
            </w:r>
            <w:r w:rsidR="008E0D1A">
              <w:rPr>
                <w:rFonts w:ascii="Times New Roman" w:hAnsi="Times New Roman" w:cs="Times New Roman"/>
                <w:sz w:val="24"/>
                <w:szCs w:val="24"/>
              </w:rPr>
              <w:t>nr. 1646</w:t>
            </w:r>
            <w:r w:rsidR="002D6183">
              <w:rPr>
                <w:rFonts w:ascii="Times New Roman" w:hAnsi="Times New Roman" w:cs="Times New Roman"/>
                <w:sz w:val="24"/>
                <w:szCs w:val="24"/>
              </w:rPr>
              <w:t>/</w:t>
            </w:r>
            <w:r w:rsidR="00CE1CF5" w:rsidRPr="0037504C">
              <w:rPr>
                <w:rFonts w:ascii="Times New Roman" w:hAnsi="Times New Roman" w:cs="Times New Roman"/>
                <w:sz w:val="24"/>
                <w:szCs w:val="24"/>
              </w:rPr>
              <w:t xml:space="preserve">2008 a fost aprobată </w:t>
            </w:r>
            <w:r w:rsidR="008B6A62">
              <w:rPr>
                <w:rFonts w:ascii="Times New Roman" w:hAnsi="Times New Roman" w:cs="Times New Roman"/>
                <w:sz w:val="24"/>
                <w:szCs w:val="24"/>
              </w:rPr>
              <w:t>L</w:t>
            </w:r>
            <w:r w:rsidR="008B6A62" w:rsidRPr="008B6A62">
              <w:rPr>
                <w:rFonts w:ascii="Times New Roman" w:hAnsi="Times New Roman" w:cs="Times New Roman"/>
                <w:sz w:val="24"/>
                <w:szCs w:val="24"/>
              </w:rPr>
              <w:t>icenţa de concesiune a activităţii miniere de exploatare a lignitului nr. 2.603/2001, încheiată între Agenţia Naţională pentru Resurse Minerale, în calitate de concedent, şi Societatea Comercială "Complexul Energetic Turceni" - S.A., cu sediul în localitatea Turceni, Str. Uzinei nr. 1, judeţul Gorj, în calitate de concesionar</w:t>
            </w:r>
            <w:r w:rsidR="008B6A62">
              <w:rPr>
                <w:rFonts w:ascii="Verdana" w:hAnsi="Verdana"/>
                <w:color w:val="000000"/>
                <w:sz w:val="16"/>
                <w:szCs w:val="16"/>
                <w:shd w:val="clear" w:color="auto" w:fill="FFFFFF"/>
              </w:rPr>
              <w:t xml:space="preserve">, </w:t>
            </w:r>
            <w:r w:rsidR="008B6A62" w:rsidRPr="008B6A62">
              <w:rPr>
                <w:rFonts w:ascii="Times New Roman" w:hAnsi="Times New Roman" w:cs="Times New Roman"/>
                <w:sz w:val="24"/>
                <w:szCs w:val="24"/>
              </w:rPr>
              <w:t>în perimetrul Jilţ Sud, situat în loc</w:t>
            </w:r>
            <w:r w:rsidR="008B6A62">
              <w:rPr>
                <w:rFonts w:ascii="Times New Roman" w:hAnsi="Times New Roman" w:cs="Times New Roman"/>
                <w:sz w:val="24"/>
                <w:szCs w:val="24"/>
              </w:rPr>
              <w:t>alitatea Mătăsari, judeţul Gorj</w:t>
            </w:r>
            <w:r w:rsidR="00CE1CF5" w:rsidRPr="0037504C">
              <w:rPr>
                <w:rFonts w:ascii="Times New Roman" w:hAnsi="Times New Roman" w:cs="Times New Roman"/>
                <w:sz w:val="24"/>
                <w:szCs w:val="24"/>
              </w:rPr>
              <w:t>.</w:t>
            </w:r>
            <w:r w:rsidR="00AF2BDE">
              <w:rPr>
                <w:rFonts w:ascii="Times New Roman" w:hAnsi="Times New Roman" w:cs="Times New Roman"/>
                <w:sz w:val="24"/>
                <w:szCs w:val="24"/>
              </w:rPr>
              <w:t xml:space="preserve"> În anul 2009 s-a solicitat extinderea perimetrului de licență, solicitare aprobată de Agenția Națională pentru Resurse Minerale </w:t>
            </w:r>
            <w:r w:rsidR="00601D43">
              <w:rPr>
                <w:rFonts w:ascii="Times New Roman" w:hAnsi="Times New Roman" w:cs="Times New Roman"/>
                <w:sz w:val="24"/>
                <w:szCs w:val="24"/>
              </w:rPr>
              <w:t>prin Actul Adițional nr. 1 la Licența de e</w:t>
            </w:r>
            <w:r w:rsidR="00A768BE">
              <w:rPr>
                <w:rFonts w:ascii="Times New Roman" w:hAnsi="Times New Roman" w:cs="Times New Roman"/>
                <w:sz w:val="24"/>
                <w:szCs w:val="24"/>
              </w:rPr>
              <w:t>x</w:t>
            </w:r>
            <w:r w:rsidR="002F3AFE">
              <w:rPr>
                <w:rFonts w:ascii="Times New Roman" w:hAnsi="Times New Roman" w:cs="Times New Roman"/>
                <w:sz w:val="24"/>
                <w:szCs w:val="24"/>
              </w:rPr>
              <w:t>ploatare nr. 2603/2001 în baza „D</w:t>
            </w:r>
            <w:r w:rsidR="00A768BE">
              <w:rPr>
                <w:rFonts w:ascii="Times New Roman" w:hAnsi="Times New Roman" w:cs="Times New Roman"/>
                <w:sz w:val="24"/>
                <w:szCs w:val="24"/>
              </w:rPr>
              <w:t>ocumentatiei pentru licența de exploatare a carierei Jilț Sud actualizare pentru perimetrul extins</w:t>
            </w:r>
            <w:r w:rsidR="002F3AFE">
              <w:rPr>
                <w:rFonts w:ascii="Times New Roman" w:hAnsi="Times New Roman" w:cs="Times New Roman"/>
                <w:sz w:val="24"/>
                <w:szCs w:val="24"/>
              </w:rPr>
              <w:t>”, simbol 707-599.</w:t>
            </w:r>
          </w:p>
          <w:p w:rsidR="00CE1CF5" w:rsidRPr="0037504C" w:rsidRDefault="00D37F7E" w:rsidP="0037504C">
            <w:pPr>
              <w:autoSpaceDE w:val="0"/>
              <w:autoSpaceDN w:val="0"/>
              <w:adjustRightInd w:val="0"/>
              <w:spacing w:after="0" w:line="240" w:lineRule="auto"/>
              <w:jc w:val="both"/>
              <w:rPr>
                <w:rFonts w:ascii="Times New Roman" w:hAnsi="Times New Roman" w:cs="Times New Roman"/>
                <w:sz w:val="24"/>
                <w:szCs w:val="24"/>
              </w:rPr>
            </w:pPr>
            <w:r w:rsidRPr="0037504C">
              <w:rPr>
                <w:rFonts w:ascii="Times New Roman" w:hAnsi="Times New Roman" w:cs="Times New Roman"/>
                <w:sz w:val="24"/>
                <w:szCs w:val="24"/>
              </w:rPr>
              <w:t xml:space="preserve">Obiectivul minier a fost aprobat la nivel de amplasament și indicatori tehnico-economici prin proiectul de execuție </w:t>
            </w:r>
            <w:r w:rsidR="002D6183">
              <w:rPr>
                <w:rFonts w:ascii="Times New Roman" w:hAnsi="Times New Roman" w:cs="Times New Roman"/>
                <w:sz w:val="24"/>
                <w:szCs w:val="24"/>
              </w:rPr>
              <w:t>„</w:t>
            </w:r>
            <w:r w:rsidR="0073488A">
              <w:rPr>
                <w:rFonts w:ascii="Times New Roman" w:hAnsi="Times New Roman" w:cs="Times New Roman"/>
                <w:sz w:val="24"/>
                <w:szCs w:val="24"/>
              </w:rPr>
              <w:t>Lucrări pentru punerea în funcțiune a capacității finale de producție de 8,5 mil. tone lignit/an, cariera Jilț Sud</w:t>
            </w:r>
            <w:r w:rsidR="008E04CE">
              <w:rPr>
                <w:rFonts w:ascii="Times New Roman" w:hAnsi="Times New Roman" w:cs="Times New Roman"/>
                <w:sz w:val="24"/>
                <w:szCs w:val="24"/>
              </w:rPr>
              <w:t>”</w:t>
            </w:r>
            <w:r w:rsidR="0073488A">
              <w:rPr>
                <w:rFonts w:ascii="Times New Roman" w:hAnsi="Times New Roman" w:cs="Times New Roman"/>
                <w:sz w:val="24"/>
                <w:szCs w:val="24"/>
              </w:rPr>
              <w:t xml:space="preserve"> simbol 7</w:t>
            </w:r>
            <w:r w:rsidRPr="0037504C">
              <w:rPr>
                <w:rFonts w:ascii="Times New Roman" w:hAnsi="Times New Roman" w:cs="Times New Roman"/>
                <w:sz w:val="24"/>
                <w:szCs w:val="24"/>
              </w:rPr>
              <w:t>0</w:t>
            </w:r>
            <w:r w:rsidR="0073488A">
              <w:rPr>
                <w:rFonts w:ascii="Times New Roman" w:hAnsi="Times New Roman" w:cs="Times New Roman"/>
                <w:sz w:val="24"/>
                <w:szCs w:val="24"/>
              </w:rPr>
              <w:t>7-601 a/1986</w:t>
            </w:r>
            <w:r w:rsidRPr="0037504C">
              <w:rPr>
                <w:rFonts w:ascii="Times New Roman" w:hAnsi="Times New Roman" w:cs="Times New Roman"/>
                <w:sz w:val="24"/>
                <w:szCs w:val="24"/>
              </w:rPr>
              <w:t>, aprobat prin H</w:t>
            </w:r>
            <w:r w:rsidR="001E7B19">
              <w:rPr>
                <w:rFonts w:ascii="Times New Roman" w:hAnsi="Times New Roman" w:cs="Times New Roman"/>
                <w:sz w:val="24"/>
                <w:szCs w:val="24"/>
              </w:rPr>
              <w:t xml:space="preserve">otărârea </w:t>
            </w:r>
            <w:r w:rsidR="001E7B19" w:rsidRPr="0037504C">
              <w:rPr>
                <w:rFonts w:ascii="Times New Roman" w:hAnsi="Times New Roman" w:cs="Times New Roman"/>
                <w:sz w:val="24"/>
                <w:szCs w:val="24"/>
              </w:rPr>
              <w:t>C</w:t>
            </w:r>
            <w:r w:rsidR="001E7B19">
              <w:rPr>
                <w:rFonts w:ascii="Times New Roman" w:hAnsi="Times New Roman" w:cs="Times New Roman"/>
                <w:sz w:val="24"/>
                <w:szCs w:val="24"/>
              </w:rPr>
              <w:t xml:space="preserve">onsiliului de </w:t>
            </w:r>
            <w:r w:rsidRPr="0037504C">
              <w:rPr>
                <w:rFonts w:ascii="Times New Roman" w:hAnsi="Times New Roman" w:cs="Times New Roman"/>
                <w:sz w:val="24"/>
                <w:szCs w:val="24"/>
              </w:rPr>
              <w:t>M</w:t>
            </w:r>
            <w:r w:rsidR="001E7B19">
              <w:rPr>
                <w:rFonts w:ascii="Times New Roman" w:hAnsi="Times New Roman" w:cs="Times New Roman"/>
                <w:sz w:val="24"/>
                <w:szCs w:val="24"/>
              </w:rPr>
              <w:t>iniștri</w:t>
            </w:r>
            <w:r w:rsidR="00EF26D0">
              <w:rPr>
                <w:rFonts w:ascii="Times New Roman" w:hAnsi="Times New Roman" w:cs="Times New Roman"/>
                <w:sz w:val="24"/>
                <w:szCs w:val="24"/>
              </w:rPr>
              <w:t xml:space="preserve"> nr. 46/1987</w:t>
            </w:r>
            <w:r w:rsidR="00DC5E92" w:rsidRPr="0037504C">
              <w:rPr>
                <w:rFonts w:ascii="Times New Roman" w:hAnsi="Times New Roman" w:cs="Times New Roman"/>
                <w:sz w:val="24"/>
                <w:szCs w:val="24"/>
              </w:rPr>
              <w:t>.</w:t>
            </w:r>
          </w:p>
          <w:p w:rsidR="0084312D" w:rsidRPr="0037504C" w:rsidRDefault="00857E86"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lastRenderedPageBreak/>
              <w:t xml:space="preserve">Guvernul a emis </w:t>
            </w:r>
            <w:r w:rsidR="009A4DF6">
              <w:rPr>
                <w:rFonts w:ascii="Times New Roman" w:hAnsi="Times New Roman" w:cs="Times New Roman"/>
                <w:sz w:val="24"/>
                <w:szCs w:val="24"/>
              </w:rPr>
              <w:t>Hotărârea nr. 552/2018</w:t>
            </w:r>
            <w:r w:rsidR="00C34032" w:rsidRPr="0037504C">
              <w:rPr>
                <w:rFonts w:ascii="Times New Roman" w:hAnsi="Times New Roman" w:cs="Times New Roman"/>
                <w:sz w:val="24"/>
                <w:szCs w:val="24"/>
              </w:rPr>
              <w:t xml:space="preserve"> </w:t>
            </w:r>
            <w:r w:rsidR="0084312D" w:rsidRPr="0037504C">
              <w:rPr>
                <w:rFonts w:ascii="Times New Roman" w:hAnsi="Times New Roman" w:cs="Times New Roman"/>
                <w:sz w:val="24"/>
                <w:szCs w:val="24"/>
              </w:rPr>
              <w:t>privind aprobarea amplasamentului şi declanşarea procedurilor de expropriere a tuturor imobilelor proprietate privată situate în coridorul de expropriere al lucrării de utilitate publică de interes naţional "</w:t>
            </w:r>
            <w:r w:rsidR="009A4DF6">
              <w:rPr>
                <w:rFonts w:ascii="Times New Roman" w:hAnsi="Times New Roman" w:cs="Times New Roman"/>
                <w:sz w:val="24"/>
                <w:szCs w:val="24"/>
              </w:rPr>
              <w:t>Lucrări pentru punerea în funcțiune a capacității finale de producție de 8</w:t>
            </w:r>
            <w:r w:rsidR="00B34D93">
              <w:rPr>
                <w:rFonts w:ascii="Times New Roman" w:hAnsi="Times New Roman" w:cs="Times New Roman"/>
                <w:sz w:val="24"/>
                <w:szCs w:val="24"/>
              </w:rPr>
              <w:t>.</w:t>
            </w:r>
            <w:r w:rsidR="009A4DF6">
              <w:rPr>
                <w:rFonts w:ascii="Times New Roman" w:hAnsi="Times New Roman" w:cs="Times New Roman"/>
                <w:sz w:val="24"/>
                <w:szCs w:val="24"/>
              </w:rPr>
              <w:t>5</w:t>
            </w:r>
            <w:r w:rsidR="00B34D93">
              <w:rPr>
                <w:rFonts w:ascii="Times New Roman" w:hAnsi="Times New Roman" w:cs="Times New Roman"/>
                <w:sz w:val="24"/>
                <w:szCs w:val="24"/>
              </w:rPr>
              <w:t>00 mii tone</w:t>
            </w:r>
            <w:r w:rsidR="009A4DF6">
              <w:rPr>
                <w:rFonts w:ascii="Times New Roman" w:hAnsi="Times New Roman" w:cs="Times New Roman"/>
                <w:sz w:val="24"/>
                <w:szCs w:val="24"/>
              </w:rPr>
              <w:t>/an</w:t>
            </w:r>
            <w:r w:rsidR="00B34D93">
              <w:rPr>
                <w:rFonts w:ascii="Times New Roman" w:hAnsi="Times New Roman" w:cs="Times New Roman"/>
                <w:sz w:val="24"/>
                <w:szCs w:val="24"/>
              </w:rPr>
              <w:t xml:space="preserve"> lignit la C</w:t>
            </w:r>
            <w:r w:rsidR="009A4DF6">
              <w:rPr>
                <w:rFonts w:ascii="Times New Roman" w:hAnsi="Times New Roman" w:cs="Times New Roman"/>
                <w:sz w:val="24"/>
                <w:szCs w:val="24"/>
              </w:rPr>
              <w:t>ariera Jilț Sud</w:t>
            </w:r>
            <w:r w:rsidR="0084312D" w:rsidRPr="0037504C">
              <w:rPr>
                <w:rFonts w:ascii="Times New Roman" w:hAnsi="Times New Roman" w:cs="Times New Roman"/>
                <w:sz w:val="24"/>
                <w:szCs w:val="24"/>
              </w:rPr>
              <w:t xml:space="preserve">". </w:t>
            </w:r>
          </w:p>
          <w:p w:rsidR="00857E86" w:rsidRPr="0037504C" w:rsidRDefault="00857E86"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Societatea Complexul Energetic Oltenia S.A. a emis</w:t>
            </w:r>
            <w:r w:rsidR="00B34D93">
              <w:rPr>
                <w:rFonts w:ascii="Times New Roman" w:hAnsi="Times New Roman" w:cs="Times New Roman"/>
                <w:sz w:val="24"/>
                <w:szCs w:val="24"/>
              </w:rPr>
              <w:t xml:space="preserve"> Decizia de expropriere nr. 2840</w:t>
            </w:r>
            <w:r w:rsidRPr="0037504C">
              <w:rPr>
                <w:rFonts w:ascii="Times New Roman" w:hAnsi="Times New Roman" w:cs="Times New Roman"/>
                <w:sz w:val="24"/>
                <w:szCs w:val="24"/>
              </w:rPr>
              <w:t>/</w:t>
            </w:r>
            <w:r w:rsidR="00B34D93">
              <w:rPr>
                <w:rFonts w:ascii="Times New Roman" w:hAnsi="Times New Roman" w:cs="Times New Roman"/>
                <w:sz w:val="24"/>
                <w:szCs w:val="24"/>
              </w:rPr>
              <w:t>05</w:t>
            </w:r>
            <w:r w:rsidR="000F0918" w:rsidRPr="0037504C">
              <w:rPr>
                <w:rFonts w:ascii="Times New Roman" w:hAnsi="Times New Roman" w:cs="Times New Roman"/>
                <w:sz w:val="24"/>
                <w:szCs w:val="24"/>
              </w:rPr>
              <w:t>.</w:t>
            </w:r>
            <w:r w:rsidR="00B34D93">
              <w:rPr>
                <w:rFonts w:ascii="Times New Roman" w:hAnsi="Times New Roman" w:cs="Times New Roman"/>
                <w:sz w:val="24"/>
                <w:szCs w:val="24"/>
              </w:rPr>
              <w:t>1</w:t>
            </w:r>
            <w:r w:rsidR="000F0918" w:rsidRPr="0037504C">
              <w:rPr>
                <w:rFonts w:ascii="Times New Roman" w:hAnsi="Times New Roman" w:cs="Times New Roman"/>
                <w:sz w:val="24"/>
                <w:szCs w:val="24"/>
              </w:rPr>
              <w:t>2.201</w:t>
            </w:r>
            <w:r w:rsidR="00B34D93">
              <w:rPr>
                <w:rFonts w:ascii="Times New Roman" w:hAnsi="Times New Roman" w:cs="Times New Roman"/>
                <w:sz w:val="24"/>
                <w:szCs w:val="24"/>
              </w:rPr>
              <w:t>8</w:t>
            </w:r>
            <w:r w:rsidR="000F0918" w:rsidRPr="0037504C">
              <w:rPr>
                <w:rFonts w:ascii="Times New Roman" w:hAnsi="Times New Roman" w:cs="Times New Roman"/>
                <w:sz w:val="24"/>
                <w:szCs w:val="24"/>
              </w:rPr>
              <w:t>, prin efectul căreia terenurile situate în coridorul de expropriere al lucrării de utilitate publică de interes naţional "</w:t>
            </w:r>
            <w:r w:rsidR="00B34D93">
              <w:rPr>
                <w:rFonts w:ascii="Times New Roman" w:hAnsi="Times New Roman" w:cs="Times New Roman"/>
                <w:sz w:val="24"/>
                <w:szCs w:val="24"/>
              </w:rPr>
              <w:t>Lucrări pentru punerea în funcțiune a capacității</w:t>
            </w:r>
            <w:r w:rsidR="00EF0C95">
              <w:rPr>
                <w:rFonts w:ascii="Times New Roman" w:hAnsi="Times New Roman" w:cs="Times New Roman"/>
                <w:sz w:val="24"/>
                <w:szCs w:val="24"/>
              </w:rPr>
              <w:t xml:space="preserve"> finale de producție de 8.500 mii</w:t>
            </w:r>
            <w:r w:rsidR="00B34D93">
              <w:rPr>
                <w:rFonts w:ascii="Times New Roman" w:hAnsi="Times New Roman" w:cs="Times New Roman"/>
                <w:sz w:val="24"/>
                <w:szCs w:val="24"/>
              </w:rPr>
              <w:t xml:space="preserve"> tone /an</w:t>
            </w:r>
            <w:r w:rsidR="00EF0C95">
              <w:rPr>
                <w:rFonts w:ascii="Times New Roman" w:hAnsi="Times New Roman" w:cs="Times New Roman"/>
                <w:sz w:val="24"/>
                <w:szCs w:val="24"/>
              </w:rPr>
              <w:t xml:space="preserve"> lignit</w:t>
            </w:r>
            <w:r w:rsidR="00B34D93">
              <w:rPr>
                <w:rFonts w:ascii="Times New Roman" w:hAnsi="Times New Roman" w:cs="Times New Roman"/>
                <w:sz w:val="24"/>
                <w:szCs w:val="24"/>
              </w:rPr>
              <w:t xml:space="preserve"> </w:t>
            </w:r>
            <w:r w:rsidR="00EA72A6">
              <w:rPr>
                <w:rFonts w:ascii="Times New Roman" w:hAnsi="Times New Roman" w:cs="Times New Roman"/>
                <w:sz w:val="24"/>
                <w:szCs w:val="24"/>
              </w:rPr>
              <w:t xml:space="preserve">la </w:t>
            </w:r>
            <w:r w:rsidR="00B34D93">
              <w:rPr>
                <w:rFonts w:ascii="Times New Roman" w:hAnsi="Times New Roman" w:cs="Times New Roman"/>
                <w:sz w:val="24"/>
                <w:szCs w:val="24"/>
              </w:rPr>
              <w:t>cariera Jilț Sud</w:t>
            </w:r>
            <w:r w:rsidR="00B34D93" w:rsidRPr="0037504C">
              <w:rPr>
                <w:rFonts w:ascii="Times New Roman" w:hAnsi="Times New Roman" w:cs="Times New Roman"/>
                <w:sz w:val="24"/>
                <w:szCs w:val="24"/>
              </w:rPr>
              <w:t xml:space="preserve"> </w:t>
            </w:r>
            <w:r w:rsidR="000F0918" w:rsidRPr="0037504C">
              <w:rPr>
                <w:rFonts w:ascii="Times New Roman" w:hAnsi="Times New Roman" w:cs="Times New Roman"/>
                <w:sz w:val="24"/>
                <w:szCs w:val="24"/>
              </w:rPr>
              <w:t>"</w:t>
            </w:r>
            <w:r w:rsidR="00D66106" w:rsidRPr="0037504C">
              <w:rPr>
                <w:rFonts w:ascii="Times New Roman" w:hAnsi="Times New Roman" w:cs="Times New Roman"/>
                <w:sz w:val="24"/>
                <w:szCs w:val="24"/>
              </w:rPr>
              <w:t>, au intrat în proprietatea publică a statului.</w:t>
            </w:r>
          </w:p>
          <w:p w:rsidR="00D66106" w:rsidRPr="0037504C" w:rsidRDefault="00D66106" w:rsidP="0037504C">
            <w:pPr>
              <w:autoSpaceDE w:val="0"/>
              <w:autoSpaceDN w:val="0"/>
              <w:adjustRightInd w:val="0"/>
              <w:spacing w:after="0" w:line="240" w:lineRule="auto"/>
              <w:jc w:val="both"/>
              <w:rPr>
                <w:rFonts w:ascii="Times New Roman" w:hAnsi="Times New Roman" w:cs="Times New Roman"/>
                <w:sz w:val="24"/>
                <w:szCs w:val="24"/>
              </w:rPr>
            </w:pPr>
            <w:r w:rsidRPr="0037504C">
              <w:rPr>
                <w:rFonts w:ascii="Times New Roman" w:hAnsi="Times New Roman" w:cs="Times New Roman"/>
                <w:sz w:val="24"/>
                <w:szCs w:val="24"/>
              </w:rPr>
              <w:t>Coridorul de expropriere aprobat are suprafaț</w:t>
            </w:r>
            <w:r w:rsidR="00C50AAC">
              <w:rPr>
                <w:rFonts w:ascii="Times New Roman" w:hAnsi="Times New Roman" w:cs="Times New Roman"/>
                <w:sz w:val="24"/>
                <w:szCs w:val="24"/>
              </w:rPr>
              <w:t>a totală de 252,6444</w:t>
            </w:r>
            <w:r w:rsidRPr="0037504C">
              <w:rPr>
                <w:rFonts w:ascii="Times New Roman" w:hAnsi="Times New Roman" w:cs="Times New Roman"/>
                <w:sz w:val="24"/>
                <w:szCs w:val="24"/>
              </w:rPr>
              <w:t xml:space="preserve"> ha, c</w:t>
            </w:r>
            <w:r w:rsidR="00C50AAC">
              <w:rPr>
                <w:rFonts w:ascii="Times New Roman" w:hAnsi="Times New Roman" w:cs="Times New Roman"/>
                <w:sz w:val="24"/>
                <w:szCs w:val="24"/>
              </w:rPr>
              <w:t>onform Cărții funciare nr. 37921</w:t>
            </w:r>
            <w:r w:rsidR="00A404F9" w:rsidRPr="0037504C">
              <w:rPr>
                <w:rFonts w:ascii="Times New Roman" w:hAnsi="Times New Roman" w:cs="Times New Roman"/>
                <w:sz w:val="24"/>
                <w:szCs w:val="24"/>
              </w:rPr>
              <w:t>, UAT Mătăsari din Județul Gorj.</w:t>
            </w:r>
          </w:p>
          <w:p w:rsidR="00A404F9" w:rsidRPr="0037504C" w:rsidRDefault="00A404F9"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Suprafața de teren forestier solicitată a fi scoasă din fondul forestier națion</w:t>
            </w:r>
            <w:r w:rsidR="00E55E22">
              <w:rPr>
                <w:rFonts w:ascii="Times New Roman" w:hAnsi="Times New Roman" w:cs="Times New Roman"/>
                <w:sz w:val="24"/>
                <w:szCs w:val="24"/>
              </w:rPr>
              <w:t>al, cu defrișare de 28</w:t>
            </w:r>
            <w:r w:rsidR="00BA3F82" w:rsidRPr="0037504C">
              <w:rPr>
                <w:rFonts w:ascii="Times New Roman" w:hAnsi="Times New Roman" w:cs="Times New Roman"/>
                <w:sz w:val="24"/>
                <w:szCs w:val="24"/>
              </w:rPr>
              <w:t>,</w:t>
            </w:r>
            <w:r w:rsidR="00E55E22">
              <w:rPr>
                <w:rFonts w:ascii="Times New Roman" w:hAnsi="Times New Roman" w:cs="Times New Roman"/>
                <w:sz w:val="24"/>
                <w:szCs w:val="24"/>
              </w:rPr>
              <w:t>5663</w:t>
            </w:r>
            <w:r w:rsidR="00BA3F82" w:rsidRPr="0037504C">
              <w:rPr>
                <w:rFonts w:ascii="Times New Roman" w:hAnsi="Times New Roman" w:cs="Times New Roman"/>
                <w:sz w:val="24"/>
                <w:szCs w:val="24"/>
              </w:rPr>
              <w:t xml:space="preserve"> ha, este amplasată în coridorul de expropriere al Carierei </w:t>
            </w:r>
            <w:r w:rsidR="00E55E22">
              <w:rPr>
                <w:rFonts w:ascii="Times New Roman" w:hAnsi="Times New Roman" w:cs="Times New Roman"/>
                <w:sz w:val="24"/>
                <w:szCs w:val="24"/>
              </w:rPr>
              <w:t>Jilț Sud</w:t>
            </w:r>
            <w:r w:rsidR="00355196" w:rsidRPr="0037504C">
              <w:rPr>
                <w:rFonts w:ascii="Times New Roman" w:hAnsi="Times New Roman" w:cs="Times New Roman"/>
                <w:sz w:val="24"/>
                <w:szCs w:val="24"/>
              </w:rPr>
              <w:t xml:space="preserve">, în baza documentației </w:t>
            </w:r>
            <w:r w:rsidR="008C467C">
              <w:rPr>
                <w:rFonts w:ascii="Times New Roman" w:hAnsi="Times New Roman" w:cs="Times New Roman"/>
                <w:sz w:val="24"/>
                <w:szCs w:val="24"/>
              </w:rPr>
              <w:t>„</w:t>
            </w:r>
            <w:r w:rsidR="00E55E22">
              <w:rPr>
                <w:rFonts w:ascii="Times New Roman" w:hAnsi="Times New Roman" w:cs="Times New Roman"/>
                <w:sz w:val="24"/>
                <w:szCs w:val="24"/>
              </w:rPr>
              <w:t>Lucrări pentru punerea în funcțiune a capac</w:t>
            </w:r>
            <w:r w:rsidR="001D61E8">
              <w:rPr>
                <w:rFonts w:ascii="Times New Roman" w:hAnsi="Times New Roman" w:cs="Times New Roman"/>
                <w:sz w:val="24"/>
                <w:szCs w:val="24"/>
              </w:rPr>
              <w:t>ității finale de producție de 8.</w:t>
            </w:r>
            <w:r w:rsidR="00E55E22">
              <w:rPr>
                <w:rFonts w:ascii="Times New Roman" w:hAnsi="Times New Roman" w:cs="Times New Roman"/>
                <w:sz w:val="24"/>
                <w:szCs w:val="24"/>
              </w:rPr>
              <w:t>5</w:t>
            </w:r>
            <w:r w:rsidR="001D61E8">
              <w:rPr>
                <w:rFonts w:ascii="Times New Roman" w:hAnsi="Times New Roman" w:cs="Times New Roman"/>
                <w:sz w:val="24"/>
                <w:szCs w:val="24"/>
              </w:rPr>
              <w:t>00</w:t>
            </w:r>
            <w:r w:rsidR="00E55E22">
              <w:rPr>
                <w:rFonts w:ascii="Times New Roman" w:hAnsi="Times New Roman" w:cs="Times New Roman"/>
                <w:sz w:val="24"/>
                <w:szCs w:val="24"/>
              </w:rPr>
              <w:t xml:space="preserve"> mi</w:t>
            </w:r>
            <w:r w:rsidR="001D61E8">
              <w:rPr>
                <w:rFonts w:ascii="Times New Roman" w:hAnsi="Times New Roman" w:cs="Times New Roman"/>
                <w:sz w:val="24"/>
                <w:szCs w:val="24"/>
              </w:rPr>
              <w:t>i</w:t>
            </w:r>
            <w:r w:rsidR="00E55E22">
              <w:rPr>
                <w:rFonts w:ascii="Times New Roman" w:hAnsi="Times New Roman" w:cs="Times New Roman"/>
                <w:sz w:val="24"/>
                <w:szCs w:val="24"/>
              </w:rPr>
              <w:t xml:space="preserve"> tone /an</w:t>
            </w:r>
            <w:r w:rsidR="001D61E8">
              <w:rPr>
                <w:rFonts w:ascii="Times New Roman" w:hAnsi="Times New Roman" w:cs="Times New Roman"/>
                <w:sz w:val="24"/>
                <w:szCs w:val="24"/>
              </w:rPr>
              <w:t xml:space="preserve"> lignit</w:t>
            </w:r>
            <w:r w:rsidR="00A27C32">
              <w:rPr>
                <w:rFonts w:ascii="Times New Roman" w:hAnsi="Times New Roman" w:cs="Times New Roman"/>
                <w:sz w:val="24"/>
                <w:szCs w:val="24"/>
              </w:rPr>
              <w:t xml:space="preserve"> </w:t>
            </w:r>
            <w:r w:rsidR="00EA72A6">
              <w:rPr>
                <w:rFonts w:ascii="Times New Roman" w:hAnsi="Times New Roman" w:cs="Times New Roman"/>
                <w:sz w:val="24"/>
                <w:szCs w:val="24"/>
              </w:rPr>
              <w:t xml:space="preserve">la </w:t>
            </w:r>
            <w:r w:rsidR="00A27C32">
              <w:rPr>
                <w:rFonts w:ascii="Times New Roman" w:hAnsi="Times New Roman" w:cs="Times New Roman"/>
                <w:sz w:val="24"/>
                <w:szCs w:val="24"/>
              </w:rPr>
              <w:t>C</w:t>
            </w:r>
            <w:r w:rsidR="00E55E22">
              <w:rPr>
                <w:rFonts w:ascii="Times New Roman" w:hAnsi="Times New Roman" w:cs="Times New Roman"/>
                <w:sz w:val="24"/>
                <w:szCs w:val="24"/>
              </w:rPr>
              <w:t>ariera Jilț Sud</w:t>
            </w:r>
            <w:r w:rsidR="008C467C">
              <w:rPr>
                <w:rFonts w:ascii="Times New Roman" w:hAnsi="Times New Roman" w:cs="Times New Roman"/>
                <w:sz w:val="24"/>
                <w:szCs w:val="24"/>
              </w:rPr>
              <w:t>”</w:t>
            </w:r>
            <w:r w:rsidR="00355196" w:rsidRPr="0037504C">
              <w:rPr>
                <w:rFonts w:ascii="Times New Roman" w:hAnsi="Times New Roman" w:cs="Times New Roman"/>
                <w:sz w:val="24"/>
                <w:szCs w:val="24"/>
              </w:rPr>
              <w:t>.</w:t>
            </w:r>
          </w:p>
          <w:p w:rsidR="00355196" w:rsidRPr="0037504C" w:rsidRDefault="00F81230"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Potrivit art. 36 din Legea</w:t>
            </w:r>
            <w:r w:rsidR="00355196" w:rsidRPr="0037504C">
              <w:rPr>
                <w:rFonts w:ascii="Times New Roman" w:hAnsi="Times New Roman" w:cs="Times New Roman"/>
                <w:sz w:val="24"/>
                <w:szCs w:val="24"/>
              </w:rPr>
              <w:t xml:space="preserve"> nr. 46/2008 – Codul silvic, republicată, cu modificările şi completările ulterioare, </w:t>
            </w:r>
            <w:r w:rsidRPr="0037504C">
              <w:rPr>
                <w:rFonts w:ascii="Times New Roman" w:hAnsi="Times New Roman" w:cs="Times New Roman"/>
                <w:sz w:val="24"/>
                <w:szCs w:val="24"/>
              </w:rPr>
              <w:t>este permisă reducerea suprafeței fondului forestier național prin scoaterea definitivă a unor terenuri necesare realizării obiectivelor de interes național, declarate de utilitate publică, în condițiile legii.</w:t>
            </w:r>
          </w:p>
          <w:p w:rsidR="00355196" w:rsidRPr="0037504C" w:rsidRDefault="00F81230"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Beneficiarul scoaterii definitive din fondul forestier național a terenurilor necesare realizării lucrărilor miniere de interes național și de utilitate publică de exploatare a zăcămintelor de lignit este statul român, în cazul terenurilor care</w:t>
            </w:r>
            <w:r w:rsidR="00CE1393" w:rsidRPr="0037504C">
              <w:rPr>
                <w:rFonts w:ascii="Times New Roman" w:hAnsi="Times New Roman" w:cs="Times New Roman"/>
                <w:sz w:val="24"/>
                <w:szCs w:val="24"/>
              </w:rPr>
              <w:t xml:space="preserve"> au făcut obiectul exproprierii, conform art. 36 alin. (6) din Legea nr. 46/2008 – Codul silvic.</w:t>
            </w:r>
          </w:p>
          <w:p w:rsidR="004E32A9" w:rsidRPr="0037504C" w:rsidRDefault="00CE1393"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R</w:t>
            </w:r>
            <w:r w:rsidR="00F81230" w:rsidRPr="0037504C">
              <w:rPr>
                <w:rFonts w:ascii="Times New Roman" w:hAnsi="Times New Roman" w:cs="Times New Roman"/>
                <w:sz w:val="24"/>
                <w:szCs w:val="24"/>
              </w:rPr>
              <w:t>educerea fondului forestier național prin scoaterea definitivă a terenurilor pentru realizarea lucrărilor se realizează fără compensare și se ap</w:t>
            </w:r>
            <w:r w:rsidRPr="0037504C">
              <w:rPr>
                <w:rFonts w:ascii="Times New Roman" w:hAnsi="Times New Roman" w:cs="Times New Roman"/>
                <w:sz w:val="24"/>
                <w:szCs w:val="24"/>
              </w:rPr>
              <w:t>robă prin hotărâre a Guvernului, potrivit art. 36 alin. (7) din Legea nr. 46/2008</w:t>
            </w:r>
            <w:r w:rsidR="00A17F8E">
              <w:rPr>
                <w:rFonts w:ascii="Times New Roman" w:hAnsi="Times New Roman" w:cs="Times New Roman"/>
                <w:sz w:val="24"/>
                <w:szCs w:val="24"/>
              </w:rPr>
              <w:t xml:space="preserve">, </w:t>
            </w:r>
            <w:r w:rsidR="00A17F8E" w:rsidRPr="0037504C">
              <w:rPr>
                <w:rFonts w:ascii="Times New Roman" w:hAnsi="Times New Roman" w:cs="Times New Roman"/>
                <w:sz w:val="24"/>
                <w:szCs w:val="24"/>
              </w:rPr>
              <w:t>republicată, cu modificările şi completările ulterioare</w:t>
            </w:r>
            <w:r w:rsidRPr="0037504C">
              <w:rPr>
                <w:rFonts w:ascii="Times New Roman" w:hAnsi="Times New Roman" w:cs="Times New Roman"/>
                <w:sz w:val="24"/>
                <w:szCs w:val="24"/>
              </w:rPr>
              <w:t>.</w:t>
            </w:r>
          </w:p>
          <w:p w:rsidR="00D82A7A" w:rsidRPr="006522FD"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Potrivit art. 40 din Legea nr. 46/2008</w:t>
            </w:r>
            <w:r w:rsidR="00A17F8E">
              <w:rPr>
                <w:rFonts w:ascii="Times New Roman" w:hAnsi="Times New Roman" w:cs="Times New Roman"/>
                <w:sz w:val="24"/>
                <w:szCs w:val="24"/>
              </w:rPr>
              <w:t>,</w:t>
            </w:r>
            <w:r w:rsidR="00A17F8E" w:rsidRPr="0037504C">
              <w:rPr>
                <w:rFonts w:ascii="Times New Roman" w:hAnsi="Times New Roman" w:cs="Times New Roman"/>
                <w:sz w:val="24"/>
                <w:szCs w:val="24"/>
              </w:rPr>
              <w:t>republicată, cu modificările şi completările ulterioare</w:t>
            </w:r>
            <w:r w:rsidRPr="0037504C">
              <w:rPr>
                <w:rFonts w:ascii="Times New Roman" w:hAnsi="Times New Roman" w:cs="Times New Roman"/>
                <w:sz w:val="24"/>
                <w:szCs w:val="24"/>
              </w:rPr>
              <w:t xml:space="preserve">, </w:t>
            </w:r>
            <w:r w:rsidR="00A17F8E">
              <w:rPr>
                <w:rFonts w:ascii="Times New Roman" w:hAnsi="Times New Roman" w:cs="Times New Roman"/>
                <w:sz w:val="24"/>
                <w:szCs w:val="24"/>
              </w:rPr>
              <w:t>”</w:t>
            </w:r>
            <w:r w:rsidRPr="006522FD">
              <w:rPr>
                <w:rFonts w:ascii="Times New Roman" w:hAnsi="Times New Roman" w:cs="Times New Roman"/>
                <w:sz w:val="24"/>
                <w:szCs w:val="24"/>
              </w:rPr>
              <w:t>solicitările de scoatere definitivă a terenurilor din fondul forestier național se aprobă de către:</w:t>
            </w:r>
          </w:p>
          <w:p w:rsidR="00D82A7A" w:rsidRPr="0037504C" w:rsidRDefault="00AA3680" w:rsidP="0037504C">
            <w:pPr>
              <w:autoSpaceDE w:val="0"/>
              <w:autoSpaceDN w:val="0"/>
              <w:adjustRightInd w:val="0"/>
              <w:spacing w:after="0" w:line="240" w:lineRule="auto"/>
              <w:jc w:val="both"/>
              <w:rPr>
                <w:rFonts w:ascii="Times New Roman" w:hAnsi="Times New Roman" w:cs="Times New Roman"/>
                <w:sz w:val="24"/>
                <w:szCs w:val="24"/>
              </w:rPr>
            </w:pPr>
            <w:r w:rsidRPr="006522FD">
              <w:rPr>
                <w:rFonts w:ascii="Times New Roman" w:hAnsi="Times New Roman" w:cs="Times New Roman"/>
                <w:sz w:val="24"/>
                <w:szCs w:val="24"/>
              </w:rPr>
              <w:t>c) Guvern</w:t>
            </w:r>
            <w:r w:rsidR="00D82A7A" w:rsidRPr="006522FD">
              <w:rPr>
                <w:rFonts w:ascii="Times New Roman" w:hAnsi="Times New Roman" w:cs="Times New Roman"/>
                <w:sz w:val="24"/>
                <w:szCs w:val="24"/>
              </w:rPr>
              <w:t>, la propunerea autorității publice centrale care răspunde de silvicultură, cu avizul structurii teritoriale de specialitate, pentru s</w:t>
            </w:r>
            <w:r w:rsidR="004E32A9" w:rsidRPr="006522FD">
              <w:rPr>
                <w:rFonts w:ascii="Times New Roman" w:hAnsi="Times New Roman" w:cs="Times New Roman"/>
                <w:sz w:val="24"/>
                <w:szCs w:val="24"/>
              </w:rPr>
              <w:t>uprafețe de peste 10 ha</w:t>
            </w:r>
            <w:r w:rsidR="004E32A9" w:rsidRPr="0037504C">
              <w:rPr>
                <w:rFonts w:ascii="Times New Roman" w:hAnsi="Times New Roman" w:cs="Times New Roman"/>
                <w:sz w:val="24"/>
                <w:szCs w:val="24"/>
              </w:rPr>
              <w:t>.</w:t>
            </w:r>
            <w:r w:rsidR="00A17F8E">
              <w:rPr>
                <w:rFonts w:ascii="Times New Roman" w:hAnsi="Times New Roman" w:cs="Times New Roman"/>
                <w:sz w:val="24"/>
                <w:szCs w:val="24"/>
              </w:rPr>
              <w:t>”</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În vederea realizării obiectivului, </w:t>
            </w:r>
            <w:r w:rsidR="00AA3680">
              <w:rPr>
                <w:rFonts w:ascii="Times New Roman" w:hAnsi="Times New Roman" w:cs="Times New Roman"/>
                <w:sz w:val="24"/>
                <w:szCs w:val="24"/>
              </w:rPr>
              <w:t>Societatea Complexul Energetic Oltenia SA</w:t>
            </w:r>
            <w:r w:rsidRPr="0037504C">
              <w:rPr>
                <w:rFonts w:ascii="Times New Roman" w:hAnsi="Times New Roman" w:cs="Times New Roman"/>
                <w:sz w:val="24"/>
                <w:szCs w:val="24"/>
              </w:rPr>
              <w:t xml:space="preserve"> a întocmit și a depus documentația pentru scoaterea definitivă a terenurilor din fondul forestier național, care cuprinde:</w:t>
            </w:r>
          </w:p>
          <w:p w:rsidR="00D82A7A" w:rsidRPr="00437313"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w:t>
            </w:r>
            <w:r w:rsidR="00A17F8E">
              <w:rPr>
                <w:rFonts w:ascii="Times New Roman" w:hAnsi="Times New Roman" w:cs="Times New Roman"/>
                <w:sz w:val="24"/>
                <w:szCs w:val="24"/>
              </w:rPr>
              <w:t>s</w:t>
            </w:r>
            <w:r w:rsidR="00CA7D49" w:rsidRPr="0037504C">
              <w:rPr>
                <w:rFonts w:ascii="Times New Roman" w:hAnsi="Times New Roman" w:cs="Times New Roman"/>
                <w:sz w:val="24"/>
                <w:szCs w:val="24"/>
              </w:rPr>
              <w:t>olicitarea Societății</w:t>
            </w:r>
            <w:r w:rsidRPr="0037504C">
              <w:rPr>
                <w:rFonts w:ascii="Times New Roman" w:hAnsi="Times New Roman" w:cs="Times New Roman"/>
                <w:sz w:val="24"/>
                <w:szCs w:val="24"/>
              </w:rPr>
              <w:t xml:space="preserve"> Complex</w:t>
            </w:r>
            <w:r w:rsidR="00CC4305">
              <w:rPr>
                <w:rFonts w:ascii="Times New Roman" w:hAnsi="Times New Roman" w:cs="Times New Roman"/>
                <w:sz w:val="24"/>
                <w:szCs w:val="24"/>
              </w:rPr>
              <w:t xml:space="preserve">ul Energetic Oltenia SA nr. </w:t>
            </w:r>
            <w:r w:rsidR="00F66DC9">
              <w:rPr>
                <w:rFonts w:ascii="Times New Roman" w:hAnsi="Times New Roman" w:cs="Times New Roman"/>
                <w:sz w:val="24"/>
                <w:szCs w:val="24"/>
              </w:rPr>
              <w:t>2214</w:t>
            </w:r>
            <w:r w:rsidR="00F66DC9" w:rsidRPr="0037504C">
              <w:rPr>
                <w:rFonts w:ascii="Times New Roman" w:hAnsi="Times New Roman" w:cs="Times New Roman"/>
                <w:sz w:val="24"/>
                <w:szCs w:val="24"/>
              </w:rPr>
              <w:t>/0</w:t>
            </w:r>
            <w:r w:rsidR="00F66DC9">
              <w:rPr>
                <w:rFonts w:ascii="Times New Roman" w:hAnsi="Times New Roman" w:cs="Times New Roman"/>
                <w:sz w:val="24"/>
                <w:szCs w:val="24"/>
              </w:rPr>
              <w:t>8</w:t>
            </w:r>
            <w:r w:rsidR="00F66DC9" w:rsidRPr="0037504C">
              <w:rPr>
                <w:rFonts w:ascii="Times New Roman" w:hAnsi="Times New Roman" w:cs="Times New Roman"/>
                <w:sz w:val="24"/>
                <w:szCs w:val="24"/>
              </w:rPr>
              <w:t>.0</w:t>
            </w:r>
            <w:r w:rsidR="00F66DC9">
              <w:rPr>
                <w:rFonts w:ascii="Times New Roman" w:hAnsi="Times New Roman" w:cs="Times New Roman"/>
                <w:sz w:val="24"/>
                <w:szCs w:val="24"/>
              </w:rPr>
              <w:t>5</w:t>
            </w:r>
            <w:r w:rsidR="00F66DC9" w:rsidRPr="0037504C">
              <w:rPr>
                <w:rFonts w:ascii="Times New Roman" w:hAnsi="Times New Roman" w:cs="Times New Roman"/>
                <w:sz w:val="24"/>
                <w:szCs w:val="24"/>
              </w:rPr>
              <w:t>.201</w:t>
            </w:r>
            <w:r w:rsidR="00F66DC9">
              <w:rPr>
                <w:rFonts w:ascii="Times New Roman" w:hAnsi="Times New Roman" w:cs="Times New Roman"/>
                <w:sz w:val="24"/>
                <w:szCs w:val="24"/>
              </w:rPr>
              <w:t>9</w:t>
            </w:r>
            <w:r w:rsidR="006076CC">
              <w:rPr>
                <w:rFonts w:ascii="Times New Roman" w:hAnsi="Times New Roman" w:cs="Times New Roman"/>
                <w:sz w:val="24"/>
                <w:szCs w:val="24"/>
              </w:rPr>
              <w:t>, adresa nr</w:t>
            </w:r>
            <w:r w:rsidR="00F66DC9">
              <w:rPr>
                <w:rFonts w:ascii="Times New Roman" w:hAnsi="Times New Roman" w:cs="Times New Roman"/>
                <w:sz w:val="24"/>
                <w:szCs w:val="24"/>
              </w:rPr>
              <w:t>. 2231/09.05.2019</w:t>
            </w:r>
            <w:r w:rsidR="006076CC">
              <w:rPr>
                <w:rFonts w:ascii="Times New Roman" w:hAnsi="Times New Roman" w:cs="Times New Roman"/>
                <w:sz w:val="24"/>
                <w:szCs w:val="24"/>
              </w:rPr>
              <w:t xml:space="preserve"> și</w:t>
            </w:r>
            <w:r w:rsidR="00E11E5C">
              <w:rPr>
                <w:rFonts w:ascii="Times New Roman" w:hAnsi="Times New Roman" w:cs="Times New Roman"/>
                <w:sz w:val="24"/>
                <w:szCs w:val="24"/>
              </w:rPr>
              <w:t xml:space="preserve"> </w:t>
            </w:r>
            <w:r w:rsidR="00D1265B" w:rsidRPr="00437313">
              <w:rPr>
                <w:rFonts w:ascii="Times New Roman" w:hAnsi="Times New Roman" w:cs="Times New Roman"/>
                <w:sz w:val="24"/>
                <w:szCs w:val="24"/>
              </w:rPr>
              <w:t>adresa de completare nr. 2274/14.05</w:t>
            </w:r>
            <w:r w:rsidR="00CA7D49" w:rsidRPr="00437313">
              <w:rPr>
                <w:rFonts w:ascii="Times New Roman" w:hAnsi="Times New Roman" w:cs="Times New Roman"/>
                <w:sz w:val="24"/>
                <w:szCs w:val="24"/>
              </w:rPr>
              <w:t>.201</w:t>
            </w:r>
            <w:r w:rsidR="00CC4305" w:rsidRPr="00437313">
              <w:rPr>
                <w:rFonts w:ascii="Times New Roman" w:hAnsi="Times New Roman" w:cs="Times New Roman"/>
                <w:sz w:val="24"/>
                <w:szCs w:val="24"/>
              </w:rPr>
              <w:t>9</w:t>
            </w:r>
            <w:r w:rsidR="008C467C" w:rsidRPr="00437313">
              <w:rPr>
                <w:rFonts w:ascii="Times New Roman" w:hAnsi="Times New Roman" w:cs="Times New Roman"/>
                <w:sz w:val="24"/>
                <w:szCs w:val="24"/>
              </w:rPr>
              <w:t>;</w:t>
            </w:r>
          </w:p>
          <w:p w:rsidR="00D82A7A" w:rsidRPr="0037504C"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m</w:t>
            </w:r>
            <w:r w:rsidR="00D82A7A" w:rsidRPr="0037504C">
              <w:rPr>
                <w:rFonts w:ascii="Times New Roman" w:hAnsi="Times New Roman" w:cs="Times New Roman"/>
                <w:sz w:val="24"/>
                <w:szCs w:val="24"/>
              </w:rPr>
              <w:t xml:space="preserve">emoriul tehnic-justificativ întocmit de </w:t>
            </w:r>
            <w:r w:rsidR="003870D8" w:rsidRPr="0037504C">
              <w:rPr>
                <w:rFonts w:ascii="Times New Roman" w:hAnsi="Times New Roman" w:cs="Times New Roman"/>
                <w:sz w:val="24"/>
                <w:szCs w:val="24"/>
              </w:rPr>
              <w:t>Societatea Complexul Energetic Oltenia SA</w:t>
            </w:r>
            <w:r w:rsidR="008C467C">
              <w:rPr>
                <w:rFonts w:ascii="Times New Roman" w:hAnsi="Times New Roman" w:cs="Times New Roman"/>
                <w:sz w:val="24"/>
                <w:szCs w:val="24"/>
              </w:rPr>
              <w:t>;</w:t>
            </w:r>
          </w:p>
          <w:p w:rsidR="003870D8" w:rsidRPr="0037504C" w:rsidRDefault="00415E01" w:rsidP="0037504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A17F8E">
              <w:rPr>
                <w:rFonts w:ascii="Times New Roman" w:hAnsi="Times New Roman" w:cs="Times New Roman"/>
                <w:sz w:val="24"/>
                <w:szCs w:val="24"/>
              </w:rPr>
              <w:t>m</w:t>
            </w:r>
            <w:r w:rsidR="003870D8" w:rsidRPr="0037504C">
              <w:rPr>
                <w:rFonts w:ascii="Times New Roman" w:hAnsi="Times New Roman" w:cs="Times New Roman"/>
                <w:sz w:val="24"/>
                <w:szCs w:val="24"/>
              </w:rPr>
              <w:t>emor</w:t>
            </w:r>
            <w:r w:rsidR="008C467C">
              <w:rPr>
                <w:rFonts w:ascii="Times New Roman" w:hAnsi="Times New Roman" w:cs="Times New Roman"/>
                <w:sz w:val="24"/>
                <w:szCs w:val="24"/>
              </w:rPr>
              <w:t>i</w:t>
            </w:r>
            <w:r w:rsidR="001D61E8">
              <w:rPr>
                <w:rFonts w:ascii="Times New Roman" w:hAnsi="Times New Roman" w:cs="Times New Roman"/>
                <w:sz w:val="24"/>
                <w:szCs w:val="24"/>
              </w:rPr>
              <w:t>ul justi</w:t>
            </w:r>
            <w:r w:rsidR="003870D8" w:rsidRPr="0037504C">
              <w:rPr>
                <w:rFonts w:ascii="Times New Roman" w:hAnsi="Times New Roman" w:cs="Times New Roman"/>
                <w:sz w:val="24"/>
                <w:szCs w:val="24"/>
              </w:rPr>
              <w:t>f</w:t>
            </w:r>
            <w:r w:rsidR="001D61E8">
              <w:rPr>
                <w:rFonts w:ascii="Times New Roman" w:hAnsi="Times New Roman" w:cs="Times New Roman"/>
                <w:sz w:val="24"/>
                <w:szCs w:val="24"/>
              </w:rPr>
              <w:t>ic</w:t>
            </w:r>
            <w:r w:rsidR="003870D8" w:rsidRPr="0037504C">
              <w:rPr>
                <w:rFonts w:ascii="Times New Roman" w:hAnsi="Times New Roman" w:cs="Times New Roman"/>
                <w:sz w:val="24"/>
                <w:szCs w:val="24"/>
              </w:rPr>
              <w:t xml:space="preserve">ativ întocmit de </w:t>
            </w:r>
            <w:r w:rsidR="00886539">
              <w:rPr>
                <w:rFonts w:ascii="Times New Roman" w:hAnsi="Times New Roman" w:cs="Times New Roman"/>
                <w:sz w:val="24"/>
                <w:szCs w:val="24"/>
              </w:rPr>
              <w:t>Direcția Silvică Gorj nr. 2456</w:t>
            </w:r>
            <w:r w:rsidR="003870D8" w:rsidRPr="0037504C">
              <w:rPr>
                <w:rFonts w:ascii="Times New Roman" w:hAnsi="Times New Roman" w:cs="Times New Roman"/>
                <w:sz w:val="24"/>
                <w:szCs w:val="24"/>
              </w:rPr>
              <w:t>/0</w:t>
            </w:r>
            <w:r w:rsidR="00886539">
              <w:rPr>
                <w:rFonts w:ascii="Times New Roman" w:hAnsi="Times New Roman" w:cs="Times New Roman"/>
                <w:sz w:val="24"/>
                <w:szCs w:val="24"/>
              </w:rPr>
              <w:t>5</w:t>
            </w:r>
            <w:r w:rsidR="003870D8" w:rsidRPr="0037504C">
              <w:rPr>
                <w:rFonts w:ascii="Times New Roman" w:hAnsi="Times New Roman" w:cs="Times New Roman"/>
                <w:sz w:val="24"/>
                <w:szCs w:val="24"/>
              </w:rPr>
              <w:t>.0</w:t>
            </w:r>
            <w:r w:rsidR="00886539">
              <w:rPr>
                <w:rFonts w:ascii="Times New Roman" w:hAnsi="Times New Roman" w:cs="Times New Roman"/>
                <w:sz w:val="24"/>
                <w:szCs w:val="24"/>
              </w:rPr>
              <w:t>3</w:t>
            </w:r>
            <w:r w:rsidR="003870D8" w:rsidRPr="0037504C">
              <w:rPr>
                <w:rFonts w:ascii="Times New Roman" w:hAnsi="Times New Roman" w:cs="Times New Roman"/>
                <w:sz w:val="24"/>
                <w:szCs w:val="24"/>
              </w:rPr>
              <w:t>.201</w:t>
            </w:r>
            <w:r w:rsidR="00CC4305">
              <w:rPr>
                <w:rFonts w:ascii="Times New Roman" w:hAnsi="Times New Roman" w:cs="Times New Roman"/>
                <w:sz w:val="24"/>
                <w:szCs w:val="24"/>
              </w:rPr>
              <w:t>9</w:t>
            </w:r>
            <w:r w:rsidR="003870D8" w:rsidRPr="0037504C">
              <w:rPr>
                <w:rFonts w:ascii="Times New Roman" w:hAnsi="Times New Roman" w:cs="Times New Roman"/>
                <w:sz w:val="24"/>
                <w:szCs w:val="24"/>
              </w:rPr>
              <w:t>;</w:t>
            </w:r>
          </w:p>
          <w:p w:rsidR="00D82A7A" w:rsidRPr="0037504C"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p</w:t>
            </w:r>
            <w:r w:rsidR="00D82A7A" w:rsidRPr="0037504C">
              <w:rPr>
                <w:rFonts w:ascii="Times New Roman" w:hAnsi="Times New Roman" w:cs="Times New Roman"/>
                <w:sz w:val="24"/>
                <w:szCs w:val="24"/>
              </w:rPr>
              <w:t>lan de încadrare în zonă</w:t>
            </w:r>
            <w:r w:rsidR="008C467C">
              <w:rPr>
                <w:rFonts w:ascii="Times New Roman" w:hAnsi="Times New Roman" w:cs="Times New Roman"/>
                <w:sz w:val="24"/>
                <w:szCs w:val="24"/>
              </w:rPr>
              <w:t>;</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p</w:t>
            </w:r>
            <w:r w:rsidRPr="0037504C">
              <w:rPr>
                <w:rFonts w:ascii="Times New Roman" w:hAnsi="Times New Roman" w:cs="Times New Roman"/>
                <w:sz w:val="24"/>
                <w:szCs w:val="24"/>
              </w:rPr>
              <w:t>lan de detaliu cu amplasamentul obiectivului</w:t>
            </w:r>
            <w:r w:rsidR="008C467C">
              <w:rPr>
                <w:rFonts w:ascii="Times New Roman" w:hAnsi="Times New Roman" w:cs="Times New Roman"/>
                <w:sz w:val="24"/>
                <w:szCs w:val="24"/>
              </w:rPr>
              <w:t>;</w:t>
            </w:r>
          </w:p>
          <w:p w:rsidR="00D82A7A" w:rsidRPr="0037504C"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c</w:t>
            </w:r>
            <w:r w:rsidR="00D82A7A" w:rsidRPr="0037504C">
              <w:rPr>
                <w:rFonts w:ascii="Times New Roman" w:hAnsi="Times New Roman" w:cs="Times New Roman"/>
                <w:sz w:val="24"/>
                <w:szCs w:val="24"/>
              </w:rPr>
              <w:t>opie hartă amenajistică, v</w:t>
            </w:r>
            <w:r w:rsidRPr="0037504C">
              <w:rPr>
                <w:rFonts w:ascii="Times New Roman" w:hAnsi="Times New Roman" w:cs="Times New Roman"/>
                <w:sz w:val="24"/>
                <w:szCs w:val="24"/>
              </w:rPr>
              <w:t>izată de Ocolul Silvic Motru</w:t>
            </w:r>
            <w:r w:rsidR="008C467C">
              <w:rPr>
                <w:rFonts w:ascii="Times New Roman" w:hAnsi="Times New Roman" w:cs="Times New Roman"/>
                <w:sz w:val="24"/>
                <w:szCs w:val="24"/>
              </w:rPr>
              <w:t>;</w:t>
            </w:r>
          </w:p>
          <w:p w:rsidR="00CF2804" w:rsidRPr="0037504C"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f</w:t>
            </w:r>
            <w:r w:rsidRPr="0037504C">
              <w:rPr>
                <w:rFonts w:ascii="Times New Roman" w:hAnsi="Times New Roman" w:cs="Times New Roman"/>
                <w:sz w:val="24"/>
                <w:szCs w:val="24"/>
              </w:rPr>
              <w:t>ișa tehnică de</w:t>
            </w:r>
            <w:r w:rsidR="00CC4305">
              <w:rPr>
                <w:rFonts w:ascii="Times New Roman" w:hAnsi="Times New Roman" w:cs="Times New Roman"/>
                <w:sz w:val="24"/>
                <w:szCs w:val="24"/>
              </w:rPr>
              <w:t xml:space="preserve"> transmitere-defrișare nr. 10378/28</w:t>
            </w:r>
            <w:r w:rsidRPr="0037504C">
              <w:rPr>
                <w:rFonts w:ascii="Times New Roman" w:hAnsi="Times New Roman" w:cs="Times New Roman"/>
                <w:sz w:val="24"/>
                <w:szCs w:val="24"/>
              </w:rPr>
              <w:t>.0</w:t>
            </w:r>
            <w:r w:rsidR="00CC4305">
              <w:rPr>
                <w:rFonts w:ascii="Times New Roman" w:hAnsi="Times New Roman" w:cs="Times New Roman"/>
                <w:sz w:val="24"/>
                <w:szCs w:val="24"/>
              </w:rPr>
              <w:t>2</w:t>
            </w:r>
            <w:r w:rsidRPr="0037504C">
              <w:rPr>
                <w:rFonts w:ascii="Times New Roman" w:hAnsi="Times New Roman" w:cs="Times New Roman"/>
                <w:sz w:val="24"/>
                <w:szCs w:val="24"/>
              </w:rPr>
              <w:t>.201</w:t>
            </w:r>
            <w:r w:rsidR="00CC4305">
              <w:rPr>
                <w:rFonts w:ascii="Times New Roman" w:hAnsi="Times New Roman" w:cs="Times New Roman"/>
                <w:sz w:val="24"/>
                <w:szCs w:val="24"/>
              </w:rPr>
              <w:t>9</w:t>
            </w:r>
            <w:r w:rsidRPr="0037504C">
              <w:rPr>
                <w:rFonts w:ascii="Times New Roman" w:hAnsi="Times New Roman" w:cs="Times New Roman"/>
                <w:sz w:val="24"/>
                <w:szCs w:val="24"/>
              </w:rPr>
              <w:t xml:space="preserve">, </w:t>
            </w:r>
            <w:r w:rsidR="00E9150A" w:rsidRPr="0037504C">
              <w:rPr>
                <w:rFonts w:ascii="Times New Roman" w:hAnsi="Times New Roman" w:cs="Times New Roman"/>
                <w:sz w:val="24"/>
                <w:szCs w:val="24"/>
              </w:rPr>
              <w:t>întocmită de Ocolul</w:t>
            </w:r>
            <w:r w:rsidR="00EA3C0D">
              <w:rPr>
                <w:rFonts w:ascii="Times New Roman" w:hAnsi="Times New Roman" w:cs="Times New Roman"/>
                <w:sz w:val="24"/>
                <w:szCs w:val="24"/>
              </w:rPr>
              <w:t xml:space="preserve"> Silvic Motru și aprobată de Gar</w:t>
            </w:r>
            <w:r w:rsidR="00E9150A" w:rsidRPr="0037504C">
              <w:rPr>
                <w:rFonts w:ascii="Times New Roman" w:hAnsi="Times New Roman" w:cs="Times New Roman"/>
                <w:sz w:val="24"/>
                <w:szCs w:val="24"/>
              </w:rPr>
              <w:t>da Forestieră R</w:t>
            </w:r>
            <w:r w:rsidR="00EA3C0D">
              <w:rPr>
                <w:rFonts w:ascii="Times New Roman" w:hAnsi="Times New Roman" w:cs="Times New Roman"/>
                <w:sz w:val="24"/>
                <w:szCs w:val="24"/>
              </w:rPr>
              <w:t xml:space="preserve">âmnicu </w:t>
            </w:r>
            <w:r w:rsidR="00E9150A" w:rsidRPr="0037504C">
              <w:rPr>
                <w:rFonts w:ascii="Times New Roman" w:hAnsi="Times New Roman" w:cs="Times New Roman"/>
                <w:sz w:val="24"/>
                <w:szCs w:val="24"/>
              </w:rPr>
              <w:t xml:space="preserve">Vâlcea, pentru terenurile forestiere aflate în proprietatea publică a statului și administarea </w:t>
            </w:r>
            <w:r w:rsidR="00E9150A" w:rsidRPr="0037504C">
              <w:rPr>
                <w:rFonts w:ascii="Times New Roman" w:hAnsi="Times New Roman" w:cs="Times New Roman"/>
                <w:sz w:val="24"/>
                <w:szCs w:val="24"/>
              </w:rPr>
              <w:lastRenderedPageBreak/>
              <w:t>Regiei Naționale a Pădurilor – Romsilva</w:t>
            </w:r>
            <w:r w:rsidR="00EA3C0D">
              <w:rPr>
                <w:rFonts w:ascii="Times New Roman" w:hAnsi="Times New Roman" w:cs="Times New Roman"/>
                <w:sz w:val="24"/>
                <w:szCs w:val="24"/>
              </w:rPr>
              <w:t>,</w:t>
            </w:r>
            <w:r w:rsidR="00FB25A2">
              <w:rPr>
                <w:rFonts w:ascii="Times New Roman" w:hAnsi="Times New Roman" w:cs="Times New Roman"/>
                <w:sz w:val="24"/>
                <w:szCs w:val="24"/>
              </w:rPr>
              <w:t xml:space="preserve"> </w:t>
            </w:r>
            <w:r w:rsidR="005820CD" w:rsidRPr="0037504C">
              <w:rPr>
                <w:rFonts w:ascii="Times New Roman" w:hAnsi="Times New Roman" w:cs="Times New Roman"/>
                <w:sz w:val="24"/>
                <w:szCs w:val="24"/>
              </w:rPr>
              <w:t xml:space="preserve">în suprafață de </w:t>
            </w:r>
            <w:r w:rsidR="00941290">
              <w:rPr>
                <w:rFonts w:ascii="Times New Roman" w:hAnsi="Times New Roman" w:cs="Times New Roman"/>
                <w:sz w:val="24"/>
                <w:szCs w:val="24"/>
              </w:rPr>
              <w:t>23,9733</w:t>
            </w:r>
            <w:r w:rsidR="005820CD" w:rsidRPr="0037504C">
              <w:rPr>
                <w:rFonts w:ascii="Times New Roman" w:hAnsi="Times New Roman" w:cs="Times New Roman"/>
                <w:sz w:val="24"/>
                <w:szCs w:val="24"/>
              </w:rPr>
              <w:t xml:space="preserve"> ha</w:t>
            </w:r>
            <w:r w:rsidR="008C467C">
              <w:rPr>
                <w:rFonts w:ascii="Times New Roman" w:hAnsi="Times New Roman" w:cs="Times New Roman"/>
                <w:sz w:val="24"/>
                <w:szCs w:val="24"/>
              </w:rPr>
              <w:t>;</w:t>
            </w:r>
          </w:p>
          <w:p w:rsidR="00973794" w:rsidRPr="0037504C" w:rsidRDefault="00CF2804" w:rsidP="0037504C">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D61A43">
              <w:rPr>
                <w:rFonts w:ascii="Times New Roman" w:hAnsi="Times New Roman" w:cs="Times New Roman"/>
                <w:sz w:val="24"/>
                <w:szCs w:val="24"/>
              </w:rPr>
              <w:t>c</w:t>
            </w:r>
            <w:r w:rsidR="009B2424" w:rsidRPr="0037504C">
              <w:rPr>
                <w:rFonts w:ascii="Times New Roman" w:hAnsi="Times New Roman" w:cs="Times New Roman"/>
                <w:sz w:val="24"/>
                <w:szCs w:val="24"/>
              </w:rPr>
              <w:t>opii ale descrierilor parcelare</w:t>
            </w:r>
            <w:r w:rsidR="00113BF9" w:rsidRPr="0037504C">
              <w:rPr>
                <w:rFonts w:ascii="Times New Roman" w:hAnsi="Times New Roman" w:cs="Times New Roman"/>
                <w:sz w:val="24"/>
                <w:szCs w:val="24"/>
              </w:rPr>
              <w:t xml:space="preserve"> a unităţilor amenajistice, preluate din amenajamentul silvic</w:t>
            </w:r>
            <w:r w:rsidR="00941290">
              <w:rPr>
                <w:rFonts w:ascii="Times New Roman" w:hAnsi="Times New Roman" w:cs="Times New Roman"/>
                <w:sz w:val="24"/>
                <w:szCs w:val="24"/>
              </w:rPr>
              <w:t xml:space="preserve"> în vigoare</w:t>
            </w:r>
            <w:r w:rsidR="00113BF9" w:rsidRPr="0037504C">
              <w:rPr>
                <w:rFonts w:ascii="Times New Roman" w:hAnsi="Times New Roman" w:cs="Times New Roman"/>
                <w:sz w:val="24"/>
                <w:szCs w:val="24"/>
              </w:rPr>
              <w:t>, aferente terenurilor</w:t>
            </w:r>
            <w:r w:rsidR="00941290">
              <w:rPr>
                <w:rFonts w:ascii="Times New Roman" w:hAnsi="Times New Roman" w:cs="Times New Roman"/>
                <w:sz w:val="24"/>
                <w:szCs w:val="24"/>
              </w:rPr>
              <w:t xml:space="preserve"> forestiere în suprafață de 23,9733</w:t>
            </w:r>
            <w:r w:rsidR="00D23509" w:rsidRPr="0037504C">
              <w:rPr>
                <w:rFonts w:ascii="Times New Roman" w:hAnsi="Times New Roman" w:cs="Times New Roman"/>
                <w:sz w:val="24"/>
                <w:szCs w:val="24"/>
              </w:rPr>
              <w:t xml:space="preserve"> ha,</w:t>
            </w:r>
            <w:r w:rsidR="00113BF9" w:rsidRPr="0037504C">
              <w:rPr>
                <w:rFonts w:ascii="Times New Roman" w:hAnsi="Times New Roman" w:cs="Times New Roman"/>
                <w:sz w:val="24"/>
                <w:szCs w:val="24"/>
              </w:rPr>
              <w:t xml:space="preserve"> care</w:t>
            </w:r>
            <w:r w:rsidR="00941290">
              <w:rPr>
                <w:rFonts w:ascii="Times New Roman" w:hAnsi="Times New Roman" w:cs="Times New Roman"/>
                <w:sz w:val="24"/>
                <w:szCs w:val="24"/>
              </w:rPr>
              <w:t xml:space="preserve"> </w:t>
            </w:r>
            <w:r w:rsidR="00113BF9" w:rsidRPr="0037504C">
              <w:rPr>
                <w:rFonts w:ascii="Times New Roman" w:hAnsi="Times New Roman" w:cs="Times New Roman"/>
                <w:sz w:val="24"/>
                <w:szCs w:val="24"/>
              </w:rPr>
              <w:t>fac obiectul scoaterii definitive</w:t>
            </w:r>
            <w:r w:rsidR="009B2424" w:rsidRPr="0037504C">
              <w:rPr>
                <w:rFonts w:ascii="Times New Roman" w:hAnsi="Times New Roman" w:cs="Times New Roman"/>
                <w:sz w:val="24"/>
                <w:szCs w:val="24"/>
              </w:rPr>
              <w:t>, vizate</w:t>
            </w:r>
            <w:r w:rsidR="00113BF9" w:rsidRPr="0037504C">
              <w:rPr>
                <w:rFonts w:ascii="Times New Roman" w:hAnsi="Times New Roman" w:cs="Times New Roman"/>
                <w:sz w:val="24"/>
                <w:szCs w:val="24"/>
              </w:rPr>
              <w:t xml:space="preserve"> de Ocolul Silvic Motru</w:t>
            </w:r>
            <w:r w:rsidR="008C467C">
              <w:rPr>
                <w:rFonts w:ascii="Times New Roman" w:hAnsi="Times New Roman" w:cs="Times New Roman"/>
                <w:sz w:val="24"/>
                <w:szCs w:val="24"/>
              </w:rPr>
              <w:t>;</w:t>
            </w:r>
          </w:p>
          <w:p w:rsidR="00D61A43" w:rsidRDefault="00D82A7A" w:rsidP="00D61A43">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 </w:t>
            </w:r>
            <w:r w:rsidR="00A17F8E">
              <w:rPr>
                <w:rFonts w:ascii="Times New Roman" w:hAnsi="Times New Roman" w:cs="Times New Roman"/>
                <w:sz w:val="24"/>
                <w:szCs w:val="24"/>
              </w:rPr>
              <w:t>f</w:t>
            </w:r>
            <w:r w:rsidR="00D23509" w:rsidRPr="0037504C">
              <w:rPr>
                <w:rFonts w:ascii="Times New Roman" w:hAnsi="Times New Roman" w:cs="Times New Roman"/>
                <w:sz w:val="24"/>
                <w:szCs w:val="24"/>
              </w:rPr>
              <w:t>ișa tehnică de</w:t>
            </w:r>
            <w:r w:rsidR="00BB7A6D">
              <w:rPr>
                <w:rFonts w:ascii="Times New Roman" w:hAnsi="Times New Roman" w:cs="Times New Roman"/>
                <w:sz w:val="24"/>
                <w:szCs w:val="24"/>
              </w:rPr>
              <w:t xml:space="preserve"> transmitere-defrișare nr. 10379/28</w:t>
            </w:r>
            <w:r w:rsidR="00D23509" w:rsidRPr="0037504C">
              <w:rPr>
                <w:rFonts w:ascii="Times New Roman" w:hAnsi="Times New Roman" w:cs="Times New Roman"/>
                <w:sz w:val="24"/>
                <w:szCs w:val="24"/>
              </w:rPr>
              <w:t>.0</w:t>
            </w:r>
            <w:r w:rsidR="00BB7A6D">
              <w:rPr>
                <w:rFonts w:ascii="Times New Roman" w:hAnsi="Times New Roman" w:cs="Times New Roman"/>
                <w:sz w:val="24"/>
                <w:szCs w:val="24"/>
              </w:rPr>
              <w:t>2</w:t>
            </w:r>
            <w:r w:rsidR="00D23509" w:rsidRPr="0037504C">
              <w:rPr>
                <w:rFonts w:ascii="Times New Roman" w:hAnsi="Times New Roman" w:cs="Times New Roman"/>
                <w:sz w:val="24"/>
                <w:szCs w:val="24"/>
              </w:rPr>
              <w:t>.201</w:t>
            </w:r>
            <w:r w:rsidR="00BB7A6D">
              <w:rPr>
                <w:rFonts w:ascii="Times New Roman" w:hAnsi="Times New Roman" w:cs="Times New Roman"/>
                <w:sz w:val="24"/>
                <w:szCs w:val="24"/>
              </w:rPr>
              <w:t>9</w:t>
            </w:r>
            <w:r w:rsidR="00D23509" w:rsidRPr="0037504C">
              <w:rPr>
                <w:rFonts w:ascii="Times New Roman" w:hAnsi="Times New Roman" w:cs="Times New Roman"/>
                <w:sz w:val="24"/>
                <w:szCs w:val="24"/>
              </w:rPr>
              <w:t>, întocmită de Ocolu</w:t>
            </w:r>
            <w:r w:rsidR="00EA3C0D">
              <w:rPr>
                <w:rFonts w:ascii="Times New Roman" w:hAnsi="Times New Roman" w:cs="Times New Roman"/>
                <w:sz w:val="24"/>
                <w:szCs w:val="24"/>
              </w:rPr>
              <w:t>l Silvic Motru și aprobată de G</w:t>
            </w:r>
            <w:r w:rsidR="00D23509" w:rsidRPr="0037504C">
              <w:rPr>
                <w:rFonts w:ascii="Times New Roman" w:hAnsi="Times New Roman" w:cs="Times New Roman"/>
                <w:sz w:val="24"/>
                <w:szCs w:val="24"/>
              </w:rPr>
              <w:t>a</w:t>
            </w:r>
            <w:r w:rsidR="00EA3C0D">
              <w:rPr>
                <w:rFonts w:ascii="Times New Roman" w:hAnsi="Times New Roman" w:cs="Times New Roman"/>
                <w:sz w:val="24"/>
                <w:szCs w:val="24"/>
              </w:rPr>
              <w:t>r</w:t>
            </w:r>
            <w:r w:rsidR="00D23509" w:rsidRPr="0037504C">
              <w:rPr>
                <w:rFonts w:ascii="Times New Roman" w:hAnsi="Times New Roman" w:cs="Times New Roman"/>
                <w:sz w:val="24"/>
                <w:szCs w:val="24"/>
              </w:rPr>
              <w:t>da Forestieră R</w:t>
            </w:r>
            <w:r w:rsidR="00EA3C0D">
              <w:rPr>
                <w:rFonts w:ascii="Times New Roman" w:hAnsi="Times New Roman" w:cs="Times New Roman"/>
                <w:sz w:val="24"/>
                <w:szCs w:val="24"/>
              </w:rPr>
              <w:t>âmnicu</w:t>
            </w:r>
            <w:r w:rsidR="00D23509" w:rsidRPr="0037504C">
              <w:rPr>
                <w:rFonts w:ascii="Times New Roman" w:hAnsi="Times New Roman" w:cs="Times New Roman"/>
                <w:sz w:val="24"/>
                <w:szCs w:val="24"/>
              </w:rPr>
              <w:t xml:space="preserve"> Vâlcea, pentru terenurile forestiere aflate în proprietatea publică a statului și administarea </w:t>
            </w:r>
            <w:r w:rsidR="007E584D" w:rsidRPr="0037504C">
              <w:rPr>
                <w:rFonts w:ascii="Times New Roman" w:hAnsi="Times New Roman" w:cs="Times New Roman"/>
                <w:sz w:val="24"/>
                <w:szCs w:val="24"/>
              </w:rPr>
              <w:t>Ministerului Energiei</w:t>
            </w:r>
            <w:r w:rsidR="00FB25A2">
              <w:rPr>
                <w:rFonts w:ascii="Times New Roman" w:hAnsi="Times New Roman" w:cs="Times New Roman"/>
                <w:sz w:val="24"/>
                <w:szCs w:val="24"/>
              </w:rPr>
              <w:t xml:space="preserve"> </w:t>
            </w:r>
            <w:r w:rsidR="007E584D" w:rsidRPr="0037504C">
              <w:rPr>
                <w:rFonts w:ascii="Times New Roman" w:hAnsi="Times New Roman" w:cs="Times New Roman"/>
                <w:sz w:val="24"/>
                <w:szCs w:val="24"/>
              </w:rPr>
              <w:t xml:space="preserve">prin Societatea Complexul Energetic Oltenia SA, </w:t>
            </w:r>
            <w:r w:rsidR="00D23509" w:rsidRPr="0037504C">
              <w:rPr>
                <w:rFonts w:ascii="Times New Roman" w:hAnsi="Times New Roman" w:cs="Times New Roman"/>
                <w:sz w:val="24"/>
                <w:szCs w:val="24"/>
              </w:rPr>
              <w:t xml:space="preserve">pentru terenurile </w:t>
            </w:r>
            <w:r w:rsidR="007E584D" w:rsidRPr="0037504C">
              <w:rPr>
                <w:rFonts w:ascii="Times New Roman" w:hAnsi="Times New Roman" w:cs="Times New Roman"/>
                <w:sz w:val="24"/>
                <w:szCs w:val="24"/>
              </w:rPr>
              <w:t>î</w:t>
            </w:r>
            <w:r w:rsidR="00BB7A6D">
              <w:rPr>
                <w:rFonts w:ascii="Times New Roman" w:hAnsi="Times New Roman" w:cs="Times New Roman"/>
                <w:sz w:val="24"/>
                <w:szCs w:val="24"/>
              </w:rPr>
              <w:t>n suprafață de 4,5930</w:t>
            </w:r>
            <w:r w:rsidR="007E584D" w:rsidRPr="0037504C">
              <w:rPr>
                <w:rFonts w:ascii="Times New Roman" w:hAnsi="Times New Roman" w:cs="Times New Roman"/>
                <w:sz w:val="24"/>
                <w:szCs w:val="24"/>
              </w:rPr>
              <w:t xml:space="preserve"> ha, pentru care serviciile silvice </w:t>
            </w:r>
            <w:r w:rsidR="007C1E96" w:rsidRPr="0037504C">
              <w:rPr>
                <w:rFonts w:ascii="Times New Roman" w:hAnsi="Times New Roman" w:cs="Times New Roman"/>
                <w:sz w:val="24"/>
                <w:szCs w:val="24"/>
              </w:rPr>
              <w:t>se asigu</w:t>
            </w:r>
            <w:r w:rsidR="008C467C">
              <w:rPr>
                <w:rFonts w:ascii="Times New Roman" w:hAnsi="Times New Roman" w:cs="Times New Roman"/>
                <w:sz w:val="24"/>
                <w:szCs w:val="24"/>
              </w:rPr>
              <w:t>ră de către Ocolul Silvic Motru;</w:t>
            </w:r>
            <w:r w:rsidR="00D61A43" w:rsidRPr="0037504C">
              <w:rPr>
                <w:rFonts w:ascii="Times New Roman" w:hAnsi="Times New Roman" w:cs="Times New Roman"/>
                <w:sz w:val="24"/>
                <w:szCs w:val="24"/>
              </w:rPr>
              <w:t xml:space="preserve"> </w:t>
            </w:r>
          </w:p>
          <w:p w:rsidR="00D61A43" w:rsidRPr="0037504C" w:rsidRDefault="00D61A43" w:rsidP="00D61A43">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copie a descrierii</w:t>
            </w:r>
            <w:r w:rsidRPr="0037504C">
              <w:rPr>
                <w:rFonts w:ascii="Times New Roman" w:hAnsi="Times New Roman" w:cs="Times New Roman"/>
                <w:sz w:val="24"/>
                <w:szCs w:val="24"/>
              </w:rPr>
              <w:t xml:space="preserve"> parcelare</w:t>
            </w:r>
            <w:r>
              <w:rPr>
                <w:rFonts w:ascii="Times New Roman" w:hAnsi="Times New Roman" w:cs="Times New Roman"/>
                <w:sz w:val="24"/>
                <w:szCs w:val="24"/>
              </w:rPr>
              <w:t xml:space="preserve"> a unităţii</w:t>
            </w:r>
            <w:r w:rsidRPr="0037504C">
              <w:rPr>
                <w:rFonts w:ascii="Times New Roman" w:hAnsi="Times New Roman" w:cs="Times New Roman"/>
                <w:sz w:val="24"/>
                <w:szCs w:val="24"/>
              </w:rPr>
              <w:t xml:space="preserve"> amenajistice, preluat</w:t>
            </w:r>
            <w:r w:rsidR="004D105E">
              <w:rPr>
                <w:rFonts w:ascii="Times New Roman" w:hAnsi="Times New Roman" w:cs="Times New Roman"/>
                <w:sz w:val="24"/>
                <w:szCs w:val="24"/>
              </w:rPr>
              <w:t>ă</w:t>
            </w:r>
            <w:r w:rsidRPr="0037504C">
              <w:rPr>
                <w:rFonts w:ascii="Times New Roman" w:hAnsi="Times New Roman" w:cs="Times New Roman"/>
                <w:sz w:val="24"/>
                <w:szCs w:val="24"/>
              </w:rPr>
              <w:t xml:space="preserve"> din amenajamentul silvic</w:t>
            </w:r>
            <w:r>
              <w:rPr>
                <w:rFonts w:ascii="Times New Roman" w:hAnsi="Times New Roman" w:cs="Times New Roman"/>
                <w:sz w:val="24"/>
                <w:szCs w:val="24"/>
              </w:rPr>
              <w:t xml:space="preserve"> în vigoare</w:t>
            </w:r>
            <w:r w:rsidR="004D105E">
              <w:rPr>
                <w:rFonts w:ascii="Times New Roman" w:hAnsi="Times New Roman" w:cs="Times New Roman"/>
                <w:sz w:val="24"/>
                <w:szCs w:val="24"/>
              </w:rPr>
              <w:t>, aferentă terenului</w:t>
            </w:r>
            <w:r>
              <w:rPr>
                <w:rFonts w:ascii="Times New Roman" w:hAnsi="Times New Roman" w:cs="Times New Roman"/>
                <w:sz w:val="24"/>
                <w:szCs w:val="24"/>
              </w:rPr>
              <w:t xml:space="preserve"> forestier în suprafață de 0,0788</w:t>
            </w:r>
            <w:r w:rsidRPr="0037504C">
              <w:rPr>
                <w:rFonts w:ascii="Times New Roman" w:hAnsi="Times New Roman" w:cs="Times New Roman"/>
                <w:sz w:val="24"/>
                <w:szCs w:val="24"/>
              </w:rPr>
              <w:t xml:space="preserve"> ha, care</w:t>
            </w:r>
            <w:r>
              <w:rPr>
                <w:rFonts w:ascii="Times New Roman" w:hAnsi="Times New Roman" w:cs="Times New Roman"/>
                <w:sz w:val="24"/>
                <w:szCs w:val="24"/>
              </w:rPr>
              <w:t xml:space="preserve"> </w:t>
            </w:r>
            <w:r w:rsidRPr="0037504C">
              <w:rPr>
                <w:rFonts w:ascii="Times New Roman" w:hAnsi="Times New Roman" w:cs="Times New Roman"/>
                <w:sz w:val="24"/>
                <w:szCs w:val="24"/>
              </w:rPr>
              <w:t>fac</w:t>
            </w:r>
            <w:r w:rsidR="004D105E">
              <w:rPr>
                <w:rFonts w:ascii="Times New Roman" w:hAnsi="Times New Roman" w:cs="Times New Roman"/>
                <w:sz w:val="24"/>
                <w:szCs w:val="24"/>
              </w:rPr>
              <w:t>e</w:t>
            </w:r>
            <w:r w:rsidRPr="0037504C">
              <w:rPr>
                <w:rFonts w:ascii="Times New Roman" w:hAnsi="Times New Roman" w:cs="Times New Roman"/>
                <w:sz w:val="24"/>
                <w:szCs w:val="24"/>
              </w:rPr>
              <w:t xml:space="preserve"> obiectul scoaterii definitive</w:t>
            </w:r>
            <w:r w:rsidR="004D105E">
              <w:rPr>
                <w:rFonts w:ascii="Times New Roman" w:hAnsi="Times New Roman" w:cs="Times New Roman"/>
                <w:sz w:val="24"/>
                <w:szCs w:val="24"/>
              </w:rPr>
              <w:t xml:space="preserve">, vizată </w:t>
            </w:r>
            <w:r w:rsidRPr="0037504C">
              <w:rPr>
                <w:rFonts w:ascii="Times New Roman" w:hAnsi="Times New Roman" w:cs="Times New Roman"/>
                <w:sz w:val="24"/>
                <w:szCs w:val="24"/>
              </w:rPr>
              <w:t>de Ocolul Silvic Motru</w:t>
            </w:r>
            <w:r>
              <w:rPr>
                <w:rFonts w:ascii="Times New Roman" w:hAnsi="Times New Roman" w:cs="Times New Roman"/>
                <w:sz w:val="24"/>
                <w:szCs w:val="24"/>
              </w:rPr>
              <w:t>;</w:t>
            </w:r>
          </w:p>
          <w:p w:rsidR="00D82A7A" w:rsidRPr="0037504C" w:rsidRDefault="007C1E96"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f</w:t>
            </w:r>
            <w:r w:rsidR="00D82A7A" w:rsidRPr="0037504C">
              <w:rPr>
                <w:rFonts w:ascii="Times New Roman" w:hAnsi="Times New Roman" w:cs="Times New Roman"/>
                <w:sz w:val="24"/>
                <w:szCs w:val="24"/>
              </w:rPr>
              <w:t>iş</w:t>
            </w:r>
            <w:r w:rsidR="00AE0EF9" w:rsidRPr="0037504C">
              <w:rPr>
                <w:rFonts w:ascii="Times New Roman" w:hAnsi="Times New Roman" w:cs="Times New Roman"/>
                <w:sz w:val="24"/>
                <w:szCs w:val="24"/>
              </w:rPr>
              <w:t>ele</w:t>
            </w:r>
            <w:r w:rsidR="00D82A7A" w:rsidRPr="0037504C">
              <w:rPr>
                <w:rFonts w:ascii="Times New Roman" w:hAnsi="Times New Roman" w:cs="Times New Roman"/>
                <w:sz w:val="24"/>
                <w:szCs w:val="24"/>
              </w:rPr>
              <w:t xml:space="preserve"> de descriere parcelară a unităţilor amenajistice aferente terenurilor </w:t>
            </w:r>
            <w:r w:rsidR="008D7940">
              <w:rPr>
                <w:rFonts w:ascii="Times New Roman" w:hAnsi="Times New Roman" w:cs="Times New Roman"/>
                <w:sz w:val="24"/>
                <w:szCs w:val="24"/>
              </w:rPr>
              <w:t>forestiere în suprafață de 4,5142</w:t>
            </w:r>
            <w:r w:rsidR="00DB5A32" w:rsidRPr="0037504C">
              <w:rPr>
                <w:rFonts w:ascii="Times New Roman" w:hAnsi="Times New Roman" w:cs="Times New Roman"/>
                <w:sz w:val="24"/>
                <w:szCs w:val="24"/>
              </w:rPr>
              <w:t xml:space="preserve"> ha, </w:t>
            </w:r>
            <w:r w:rsidR="00D82A7A" w:rsidRPr="0037504C">
              <w:rPr>
                <w:rFonts w:ascii="Times New Roman" w:hAnsi="Times New Roman" w:cs="Times New Roman"/>
                <w:sz w:val="24"/>
                <w:szCs w:val="24"/>
              </w:rPr>
              <w:t>care</w:t>
            </w:r>
            <w:r w:rsidR="008D7940">
              <w:rPr>
                <w:rFonts w:ascii="Times New Roman" w:hAnsi="Times New Roman" w:cs="Times New Roman"/>
                <w:sz w:val="24"/>
                <w:szCs w:val="24"/>
              </w:rPr>
              <w:t xml:space="preserve"> </w:t>
            </w:r>
            <w:r w:rsidR="00D82A7A" w:rsidRPr="0037504C">
              <w:rPr>
                <w:rFonts w:ascii="Times New Roman" w:hAnsi="Times New Roman" w:cs="Times New Roman"/>
                <w:sz w:val="24"/>
                <w:szCs w:val="24"/>
              </w:rPr>
              <w:t>fa</w:t>
            </w:r>
            <w:r w:rsidR="009C5EC1" w:rsidRPr="0037504C">
              <w:rPr>
                <w:rFonts w:ascii="Times New Roman" w:hAnsi="Times New Roman" w:cs="Times New Roman"/>
                <w:sz w:val="24"/>
                <w:szCs w:val="24"/>
              </w:rPr>
              <w:t xml:space="preserve">c obiectul scoaterii definitive, </w:t>
            </w:r>
            <w:r w:rsidR="001628F8" w:rsidRPr="0037504C">
              <w:rPr>
                <w:rFonts w:ascii="Times New Roman" w:hAnsi="Times New Roman" w:cs="Times New Roman"/>
                <w:sz w:val="24"/>
                <w:szCs w:val="24"/>
                <w:shd w:val="clear" w:color="auto" w:fill="FFFFFF"/>
              </w:rPr>
              <w:t>întocmite</w:t>
            </w:r>
            <w:r w:rsidR="00AE0EF9" w:rsidRPr="0037504C">
              <w:rPr>
                <w:rFonts w:ascii="Times New Roman" w:hAnsi="Times New Roman" w:cs="Times New Roman"/>
                <w:sz w:val="24"/>
                <w:szCs w:val="24"/>
                <w:shd w:val="clear" w:color="auto" w:fill="FFFFFF"/>
              </w:rPr>
              <w:t xml:space="preserve"> de către unităţi specializate, atestate de autoritatea publică centrală care răspunde de silvicultură, pentru efectuarea de lucrări de amenajare a pădurilor -</w:t>
            </w:r>
            <w:r w:rsidR="00D61A43">
              <w:rPr>
                <w:rFonts w:ascii="Times New Roman" w:hAnsi="Times New Roman" w:cs="Times New Roman"/>
                <w:sz w:val="24"/>
                <w:szCs w:val="24"/>
                <w:shd w:val="clear" w:color="auto" w:fill="FFFFFF"/>
              </w:rPr>
              <w:t xml:space="preserve"> </w:t>
            </w:r>
            <w:r w:rsidR="00AE0EF9" w:rsidRPr="0037504C">
              <w:rPr>
                <w:rFonts w:ascii="Times New Roman" w:hAnsi="Times New Roman" w:cs="Times New Roman"/>
                <w:sz w:val="24"/>
                <w:szCs w:val="24"/>
                <w:shd w:val="clear" w:color="auto" w:fill="FFFFFF"/>
              </w:rPr>
              <w:t xml:space="preserve">SC </w:t>
            </w:r>
            <w:r w:rsidR="001628F8" w:rsidRPr="0037504C">
              <w:rPr>
                <w:rFonts w:ascii="Times New Roman" w:hAnsi="Times New Roman" w:cs="Times New Roman"/>
                <w:sz w:val="24"/>
                <w:szCs w:val="24"/>
                <w:shd w:val="clear" w:color="auto" w:fill="FFFFFF"/>
              </w:rPr>
              <w:t>Alfrid</w:t>
            </w:r>
            <w:r w:rsidR="00AE0EF9" w:rsidRPr="0037504C">
              <w:rPr>
                <w:rFonts w:ascii="Times New Roman" w:hAnsi="Times New Roman" w:cs="Times New Roman"/>
                <w:sz w:val="24"/>
                <w:szCs w:val="24"/>
                <w:shd w:val="clear" w:color="auto" w:fill="FFFFFF"/>
              </w:rPr>
              <w:t xml:space="preserve"> SRL, </w:t>
            </w:r>
            <w:r w:rsidR="00D82A7A" w:rsidRPr="0037504C">
              <w:rPr>
                <w:rFonts w:ascii="Times New Roman" w:hAnsi="Times New Roman" w:cs="Times New Roman"/>
                <w:sz w:val="24"/>
                <w:szCs w:val="24"/>
              </w:rPr>
              <w:t>vizat</w:t>
            </w:r>
            <w:r w:rsidR="001628F8" w:rsidRPr="0037504C">
              <w:rPr>
                <w:rFonts w:ascii="Times New Roman" w:hAnsi="Times New Roman" w:cs="Times New Roman"/>
                <w:sz w:val="24"/>
                <w:szCs w:val="24"/>
              </w:rPr>
              <w:t>e</w:t>
            </w:r>
            <w:r w:rsidR="00D82A7A" w:rsidRPr="0037504C">
              <w:rPr>
                <w:rFonts w:ascii="Times New Roman" w:hAnsi="Times New Roman" w:cs="Times New Roman"/>
                <w:sz w:val="24"/>
                <w:szCs w:val="24"/>
              </w:rPr>
              <w:t xml:space="preserve"> de conducătorul G</w:t>
            </w:r>
            <w:r w:rsidR="008C467C">
              <w:rPr>
                <w:rFonts w:ascii="Times New Roman" w:hAnsi="Times New Roman" w:cs="Times New Roman"/>
                <w:sz w:val="24"/>
                <w:szCs w:val="24"/>
              </w:rPr>
              <w:t>ărzii Forestiere Râmnicu Vâlcea;</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 </w:t>
            </w:r>
            <w:r w:rsidR="00A17F8E">
              <w:rPr>
                <w:rFonts w:ascii="Times New Roman" w:hAnsi="Times New Roman" w:cs="Times New Roman"/>
                <w:sz w:val="24"/>
                <w:szCs w:val="24"/>
              </w:rPr>
              <w:t>r</w:t>
            </w:r>
            <w:r w:rsidRPr="0037504C">
              <w:rPr>
                <w:rFonts w:ascii="Times New Roman" w:hAnsi="Times New Roman" w:cs="Times New Roman"/>
                <w:sz w:val="24"/>
                <w:szCs w:val="24"/>
              </w:rPr>
              <w:t>idic</w:t>
            </w:r>
            <w:r w:rsidR="00351C3E" w:rsidRPr="0037504C">
              <w:rPr>
                <w:rFonts w:ascii="Times New Roman" w:hAnsi="Times New Roman" w:cs="Times New Roman"/>
                <w:sz w:val="24"/>
                <w:szCs w:val="24"/>
              </w:rPr>
              <w:t>area topografică în coordonate S</w:t>
            </w:r>
            <w:r w:rsidRPr="0037504C">
              <w:rPr>
                <w:rFonts w:ascii="Times New Roman" w:hAnsi="Times New Roman" w:cs="Times New Roman"/>
                <w:sz w:val="24"/>
                <w:szCs w:val="24"/>
              </w:rPr>
              <w:t>ter</w:t>
            </w:r>
            <w:r w:rsidR="00FB23FC">
              <w:rPr>
                <w:rFonts w:ascii="Times New Roman" w:hAnsi="Times New Roman" w:cs="Times New Roman"/>
                <w:sz w:val="24"/>
                <w:szCs w:val="24"/>
              </w:rPr>
              <w:t>e</w:t>
            </w:r>
            <w:r w:rsidRPr="0037504C">
              <w:rPr>
                <w:rFonts w:ascii="Times New Roman" w:hAnsi="Times New Roman" w:cs="Times New Roman"/>
                <w:sz w:val="24"/>
                <w:szCs w:val="24"/>
              </w:rPr>
              <w:t>o 70 a terenului propus pentru scoaterea definitivă din fondul forestier național, întocmită</w:t>
            </w:r>
            <w:r w:rsidR="00351C3E" w:rsidRPr="0037504C">
              <w:rPr>
                <w:rFonts w:ascii="Times New Roman" w:hAnsi="Times New Roman" w:cs="Times New Roman"/>
                <w:sz w:val="24"/>
                <w:szCs w:val="24"/>
              </w:rPr>
              <w:t xml:space="preserve"> de</w:t>
            </w:r>
            <w:r w:rsidRPr="0037504C">
              <w:rPr>
                <w:rFonts w:ascii="Times New Roman" w:hAnsi="Times New Roman" w:cs="Times New Roman"/>
                <w:sz w:val="24"/>
                <w:szCs w:val="24"/>
              </w:rPr>
              <w:t xml:space="preserve"> persoan</w:t>
            </w:r>
            <w:r w:rsidR="00833FD1" w:rsidRPr="0037504C">
              <w:rPr>
                <w:rFonts w:ascii="Times New Roman" w:hAnsi="Times New Roman" w:cs="Times New Roman"/>
                <w:sz w:val="24"/>
                <w:szCs w:val="24"/>
              </w:rPr>
              <w:t xml:space="preserve">e fizice autorizate </w:t>
            </w:r>
            <w:r w:rsidRPr="0037504C">
              <w:rPr>
                <w:rFonts w:ascii="Times New Roman" w:hAnsi="Times New Roman" w:cs="Times New Roman"/>
                <w:sz w:val="24"/>
                <w:szCs w:val="24"/>
              </w:rPr>
              <w:t>să efectueze lucrări topografice, v</w:t>
            </w:r>
            <w:r w:rsidR="00351C3E" w:rsidRPr="0037504C">
              <w:rPr>
                <w:rFonts w:ascii="Times New Roman" w:hAnsi="Times New Roman" w:cs="Times New Roman"/>
                <w:sz w:val="24"/>
                <w:szCs w:val="24"/>
              </w:rPr>
              <w:t>izată de Ocolul Silvic Motru</w:t>
            </w:r>
            <w:r w:rsidRPr="0037504C">
              <w:rPr>
                <w:rFonts w:ascii="Times New Roman" w:hAnsi="Times New Roman" w:cs="Times New Roman"/>
                <w:sz w:val="24"/>
                <w:szCs w:val="24"/>
              </w:rPr>
              <w:t>;</w:t>
            </w:r>
          </w:p>
          <w:p w:rsidR="009D1BD0" w:rsidRPr="0037504C" w:rsidRDefault="00D82A7A" w:rsidP="0037504C">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 </w:t>
            </w:r>
            <w:r w:rsidR="00833FD1" w:rsidRPr="0037504C">
              <w:rPr>
                <w:rFonts w:ascii="Times New Roman" w:hAnsi="Times New Roman" w:cs="Times New Roman"/>
                <w:sz w:val="24"/>
                <w:szCs w:val="24"/>
              </w:rPr>
              <w:t xml:space="preserve">documetele în copie care fac dovada proprietății asupra terenului forestier solicitat în suprafață de </w:t>
            </w:r>
            <w:r w:rsidR="004D105E">
              <w:rPr>
                <w:rFonts w:ascii="Times New Roman" w:hAnsi="Times New Roman" w:cs="Times New Roman"/>
                <w:sz w:val="24"/>
                <w:szCs w:val="24"/>
              </w:rPr>
              <w:t>28,</w:t>
            </w:r>
            <w:r w:rsidR="00710AC4">
              <w:rPr>
                <w:rFonts w:ascii="Times New Roman" w:hAnsi="Times New Roman" w:cs="Times New Roman"/>
                <w:sz w:val="24"/>
                <w:szCs w:val="24"/>
              </w:rPr>
              <w:t>5663</w:t>
            </w:r>
            <w:r w:rsidR="009D1BD0" w:rsidRPr="0037504C">
              <w:rPr>
                <w:rFonts w:ascii="Times New Roman" w:hAnsi="Times New Roman" w:cs="Times New Roman"/>
                <w:sz w:val="24"/>
                <w:szCs w:val="24"/>
              </w:rPr>
              <w:t xml:space="preserve"> ha:</w:t>
            </w:r>
          </w:p>
          <w:p w:rsidR="009B2424" w:rsidRPr="0037504C" w:rsidRDefault="0062206B" w:rsidP="0037504C">
            <w:pPr>
              <w:pStyle w:val="ListParagraph"/>
              <w:numPr>
                <w:ilvl w:val="0"/>
                <w:numId w:val="9"/>
              </w:numPr>
              <w:ind w:firstLine="503"/>
              <w:jc w:val="both"/>
              <w:rPr>
                <w:rFonts w:ascii="Times New Roman" w:eastAsiaTheme="minorEastAsia" w:hAnsi="Times New Roman"/>
                <w:color w:val="auto"/>
                <w:sz w:val="24"/>
                <w:szCs w:val="24"/>
                <w:lang w:val="ro-RO" w:eastAsia="ro-RO" w:bidi="ar-SA"/>
              </w:rPr>
            </w:pPr>
            <w:r w:rsidRPr="0037504C">
              <w:rPr>
                <w:rFonts w:ascii="Times New Roman" w:eastAsiaTheme="minorEastAsia" w:hAnsi="Times New Roman"/>
                <w:color w:val="auto"/>
                <w:sz w:val="24"/>
                <w:szCs w:val="24"/>
                <w:lang w:val="ro-RO" w:eastAsia="ro-RO" w:bidi="ar-SA"/>
              </w:rPr>
              <w:t>Pentru dovada proprietății asupra terenurilor forestiere aflate în proprietatea publică a statului, și administrarea Regiei Naționale a Pădurilor – Romsilva</w:t>
            </w:r>
            <w:r w:rsidR="00EA3C0D">
              <w:rPr>
                <w:rFonts w:ascii="Times New Roman" w:eastAsiaTheme="minorEastAsia" w:hAnsi="Times New Roman"/>
                <w:color w:val="auto"/>
                <w:sz w:val="24"/>
                <w:szCs w:val="24"/>
                <w:lang w:val="ro-RO" w:eastAsia="ro-RO" w:bidi="ar-SA"/>
              </w:rPr>
              <w:t>,</w:t>
            </w:r>
            <w:r w:rsidRPr="0037504C">
              <w:rPr>
                <w:rFonts w:ascii="Times New Roman" w:eastAsiaTheme="minorEastAsia" w:hAnsi="Times New Roman"/>
                <w:color w:val="auto"/>
                <w:sz w:val="24"/>
                <w:szCs w:val="24"/>
                <w:lang w:val="ro-RO" w:eastAsia="ro-RO" w:bidi="ar-SA"/>
              </w:rPr>
              <w:t xml:space="preserve"> au fost depuse c</w:t>
            </w:r>
            <w:r w:rsidR="009B2424" w:rsidRPr="0037504C">
              <w:rPr>
                <w:rFonts w:ascii="Times New Roman" w:eastAsiaTheme="minorEastAsia" w:hAnsi="Times New Roman"/>
                <w:color w:val="auto"/>
                <w:sz w:val="24"/>
                <w:szCs w:val="24"/>
                <w:shd w:val="clear" w:color="auto" w:fill="FFFFFF"/>
                <w:lang w:val="ro-RO" w:eastAsia="ro-RO" w:bidi="ar-SA"/>
              </w:rPr>
              <w:t>opii ale descrierilor parcelare, inclusiv datele complementare și evidența lucrărilor executate, preluate din amenajamentul silvic în vigoare, vizate de către ocolul silvic</w:t>
            </w:r>
            <w:r w:rsidRPr="0037504C">
              <w:rPr>
                <w:rFonts w:ascii="Times New Roman" w:eastAsiaTheme="minorEastAsia" w:hAnsi="Times New Roman"/>
                <w:color w:val="auto"/>
                <w:sz w:val="24"/>
                <w:szCs w:val="24"/>
                <w:shd w:val="clear" w:color="auto" w:fill="FFFFFF"/>
                <w:lang w:val="ro-RO" w:eastAsia="ro-RO" w:bidi="ar-SA"/>
              </w:rPr>
              <w:t xml:space="preserve">, </w:t>
            </w:r>
            <w:r w:rsidR="00357BEE" w:rsidRPr="0037504C">
              <w:rPr>
                <w:rFonts w:ascii="Times New Roman" w:eastAsiaTheme="minorEastAsia" w:hAnsi="Times New Roman"/>
                <w:color w:val="auto"/>
                <w:sz w:val="24"/>
                <w:szCs w:val="24"/>
                <w:shd w:val="clear" w:color="auto" w:fill="FFFFFF"/>
                <w:lang w:val="ro-RO" w:eastAsia="ro-RO" w:bidi="ar-SA"/>
              </w:rPr>
              <w:t xml:space="preserve">potrivit art. 20 alin. (1) pct. 20 din </w:t>
            </w:r>
            <w:r w:rsidR="00357BEE" w:rsidRPr="00A17F8E">
              <w:rPr>
                <w:rFonts w:ascii="Times New Roman" w:eastAsiaTheme="minorEastAsia" w:hAnsi="Times New Roman"/>
                <w:i/>
                <w:color w:val="auto"/>
                <w:sz w:val="24"/>
                <w:szCs w:val="24"/>
                <w:shd w:val="clear" w:color="auto" w:fill="FFFFFF"/>
                <w:lang w:val="ro-RO" w:eastAsia="ro-RO" w:bidi="ar-SA"/>
              </w:rPr>
              <w:t xml:space="preserve">Metodologia </w:t>
            </w:r>
            <w:r w:rsidR="00357BEE" w:rsidRPr="00A17F8E">
              <w:rPr>
                <w:rFonts w:ascii="Times New Roman" w:eastAsiaTheme="minorEastAsia" w:hAnsi="Times New Roman"/>
                <w:i/>
                <w:color w:val="auto"/>
                <w:sz w:val="24"/>
                <w:szCs w:val="24"/>
                <w:lang w:val="ro-RO" w:eastAsia="ro-RO" w:bidi="ar-SA"/>
              </w:rPr>
              <w:t>privind scoaterea definitivă, ocuparea temporară și schimbul de terenuri și de calcul al obligațiilor bănești</w:t>
            </w:r>
            <w:r w:rsidR="00357BEE" w:rsidRPr="0037504C">
              <w:rPr>
                <w:rFonts w:ascii="Times New Roman" w:eastAsiaTheme="minorEastAsia" w:hAnsi="Times New Roman"/>
                <w:color w:val="auto"/>
                <w:sz w:val="24"/>
                <w:szCs w:val="24"/>
                <w:lang w:val="ro-RO" w:eastAsia="ro-RO" w:bidi="ar-SA"/>
              </w:rPr>
              <w:t xml:space="preserve">, aprobată prin </w:t>
            </w:r>
            <w:r w:rsidR="00357BEE" w:rsidRPr="00A17F8E">
              <w:rPr>
                <w:rFonts w:ascii="Times New Roman" w:eastAsiaTheme="minorEastAsia" w:hAnsi="Times New Roman"/>
                <w:i/>
                <w:color w:val="auto"/>
                <w:sz w:val="24"/>
                <w:szCs w:val="24"/>
                <w:lang w:val="ro-RO" w:eastAsia="ro-RO" w:bidi="ar-SA"/>
              </w:rPr>
              <w:t>Ordinul ministrului</w:t>
            </w:r>
            <w:r w:rsidR="00EA3C0D" w:rsidRPr="00A17F8E">
              <w:rPr>
                <w:rFonts w:ascii="Times New Roman" w:eastAsiaTheme="minorEastAsia" w:hAnsi="Times New Roman"/>
                <w:i/>
                <w:color w:val="auto"/>
                <w:sz w:val="24"/>
                <w:szCs w:val="24"/>
                <w:lang w:val="ro-RO" w:eastAsia="ro-RO" w:bidi="ar-SA"/>
              </w:rPr>
              <w:t xml:space="preserve"> mediului, </w:t>
            </w:r>
            <w:r w:rsidR="00357BEE" w:rsidRPr="00A17F8E">
              <w:rPr>
                <w:rFonts w:ascii="Times New Roman" w:eastAsiaTheme="minorEastAsia" w:hAnsi="Times New Roman"/>
                <w:i/>
                <w:color w:val="auto"/>
                <w:sz w:val="24"/>
                <w:szCs w:val="24"/>
                <w:lang w:val="ro-RO" w:eastAsia="ro-RO" w:bidi="ar-SA"/>
              </w:rPr>
              <w:t>apelor și pădurilor nr. 694/2016</w:t>
            </w:r>
            <w:r w:rsidR="00357BEE" w:rsidRPr="0037504C">
              <w:rPr>
                <w:rFonts w:ascii="Times New Roman" w:eastAsiaTheme="minorEastAsia" w:hAnsi="Times New Roman"/>
                <w:color w:val="auto"/>
                <w:sz w:val="24"/>
                <w:szCs w:val="24"/>
                <w:lang w:val="ro-RO" w:eastAsia="ro-RO" w:bidi="ar-SA"/>
              </w:rPr>
              <w:t>, cu modificările și completările ulterioare</w:t>
            </w:r>
            <w:r w:rsidR="005D136C">
              <w:rPr>
                <w:rFonts w:ascii="Times New Roman" w:eastAsiaTheme="minorEastAsia" w:hAnsi="Times New Roman"/>
                <w:color w:val="auto"/>
                <w:sz w:val="24"/>
                <w:szCs w:val="24"/>
                <w:lang w:val="ro-RO" w:eastAsia="ro-RO" w:bidi="ar-SA"/>
              </w:rPr>
              <w:t>,</w:t>
            </w:r>
          </w:p>
          <w:p w:rsidR="008D2F19" w:rsidRPr="0037504C" w:rsidRDefault="00D82A7A" w:rsidP="0037504C">
            <w:pPr>
              <w:pStyle w:val="ListParagraph"/>
              <w:numPr>
                <w:ilvl w:val="0"/>
                <w:numId w:val="9"/>
              </w:numPr>
              <w:ind w:firstLine="503"/>
              <w:jc w:val="both"/>
              <w:rPr>
                <w:rFonts w:ascii="Times New Roman" w:hAnsi="Times New Roman"/>
                <w:sz w:val="24"/>
                <w:szCs w:val="24"/>
              </w:rPr>
            </w:pPr>
            <w:proofErr w:type="spellStart"/>
            <w:proofErr w:type="gramStart"/>
            <w:r w:rsidRPr="0037504C">
              <w:rPr>
                <w:rFonts w:ascii="Times New Roman" w:hAnsi="Times New Roman"/>
                <w:sz w:val="24"/>
                <w:szCs w:val="24"/>
              </w:rPr>
              <w:t>extrasul</w:t>
            </w:r>
            <w:proofErr w:type="spellEnd"/>
            <w:proofErr w:type="gramEnd"/>
            <w:r w:rsidR="008D2F19" w:rsidRPr="0037504C">
              <w:rPr>
                <w:rFonts w:ascii="Times New Roman" w:hAnsi="Times New Roman"/>
                <w:sz w:val="24"/>
                <w:szCs w:val="24"/>
              </w:rPr>
              <w:t xml:space="preserve"> de C</w:t>
            </w:r>
            <w:r w:rsidRPr="0037504C">
              <w:rPr>
                <w:rFonts w:ascii="Times New Roman" w:hAnsi="Times New Roman"/>
                <w:sz w:val="24"/>
                <w:szCs w:val="24"/>
              </w:rPr>
              <w:t xml:space="preserve">arte </w:t>
            </w:r>
            <w:proofErr w:type="spellStart"/>
            <w:r w:rsidRPr="0037504C">
              <w:rPr>
                <w:rFonts w:ascii="Times New Roman" w:hAnsi="Times New Roman"/>
                <w:sz w:val="24"/>
                <w:szCs w:val="24"/>
              </w:rPr>
              <w:t>funciară</w:t>
            </w:r>
            <w:proofErr w:type="spellEnd"/>
            <w:r w:rsidR="00710AC4">
              <w:rPr>
                <w:rFonts w:ascii="Times New Roman" w:hAnsi="Times New Roman"/>
                <w:sz w:val="24"/>
                <w:szCs w:val="24"/>
              </w:rPr>
              <w:t xml:space="preserve"> nr. 37921</w:t>
            </w:r>
            <w:r w:rsidR="008D2F19" w:rsidRPr="0037504C">
              <w:rPr>
                <w:rFonts w:ascii="Times New Roman" w:hAnsi="Times New Roman"/>
                <w:sz w:val="24"/>
                <w:szCs w:val="24"/>
              </w:rPr>
              <w:t xml:space="preserve"> UAT </w:t>
            </w:r>
            <w:proofErr w:type="spellStart"/>
            <w:r w:rsidR="008D2F19" w:rsidRPr="0037504C">
              <w:rPr>
                <w:rFonts w:ascii="Times New Roman" w:hAnsi="Times New Roman"/>
                <w:sz w:val="24"/>
                <w:szCs w:val="24"/>
              </w:rPr>
              <w:t>Mătăsari</w:t>
            </w:r>
            <w:proofErr w:type="spellEnd"/>
            <w:r w:rsidR="008D2F19" w:rsidRPr="0037504C">
              <w:rPr>
                <w:rFonts w:ascii="Times New Roman" w:hAnsi="Times New Roman"/>
                <w:sz w:val="24"/>
                <w:szCs w:val="24"/>
              </w:rPr>
              <w:t xml:space="preserve">, </w:t>
            </w:r>
            <w:proofErr w:type="spellStart"/>
            <w:r w:rsidR="00591C61">
              <w:rPr>
                <w:rFonts w:ascii="Times New Roman" w:hAnsi="Times New Roman"/>
                <w:sz w:val="24"/>
                <w:szCs w:val="24"/>
              </w:rPr>
              <w:t>eliberat</w:t>
            </w:r>
            <w:proofErr w:type="spellEnd"/>
            <w:r w:rsidRPr="0037504C">
              <w:rPr>
                <w:rFonts w:ascii="Times New Roman" w:hAnsi="Times New Roman"/>
                <w:sz w:val="24"/>
                <w:szCs w:val="24"/>
              </w:rPr>
              <w:t xml:space="preserve"> de OCPI </w:t>
            </w:r>
            <w:proofErr w:type="spellStart"/>
            <w:r w:rsidRPr="0037504C">
              <w:rPr>
                <w:rFonts w:ascii="Times New Roman" w:hAnsi="Times New Roman"/>
                <w:sz w:val="24"/>
                <w:szCs w:val="24"/>
              </w:rPr>
              <w:t>Gor</w:t>
            </w:r>
            <w:r w:rsidR="00710AC4">
              <w:rPr>
                <w:rFonts w:ascii="Times New Roman" w:hAnsi="Times New Roman"/>
                <w:sz w:val="24"/>
                <w:szCs w:val="24"/>
              </w:rPr>
              <w:t>j</w:t>
            </w:r>
            <w:proofErr w:type="spellEnd"/>
            <w:r w:rsidR="00710AC4">
              <w:rPr>
                <w:rFonts w:ascii="Times New Roman" w:hAnsi="Times New Roman"/>
                <w:sz w:val="24"/>
                <w:szCs w:val="24"/>
              </w:rPr>
              <w:t xml:space="preserve"> – BCPI </w:t>
            </w:r>
            <w:proofErr w:type="spellStart"/>
            <w:r w:rsidR="00710AC4">
              <w:rPr>
                <w:rFonts w:ascii="Times New Roman" w:hAnsi="Times New Roman"/>
                <w:sz w:val="24"/>
                <w:szCs w:val="24"/>
              </w:rPr>
              <w:t>Târgu</w:t>
            </w:r>
            <w:proofErr w:type="spellEnd"/>
            <w:r w:rsidR="00710AC4">
              <w:rPr>
                <w:rFonts w:ascii="Times New Roman" w:hAnsi="Times New Roman"/>
                <w:sz w:val="24"/>
                <w:szCs w:val="24"/>
              </w:rPr>
              <w:t xml:space="preserve"> Jiu la data de 11.03</w:t>
            </w:r>
            <w:r w:rsidRPr="0037504C">
              <w:rPr>
                <w:rFonts w:ascii="Times New Roman" w:hAnsi="Times New Roman"/>
                <w:sz w:val="24"/>
                <w:szCs w:val="24"/>
              </w:rPr>
              <w:t>.201</w:t>
            </w:r>
            <w:r w:rsidR="00710AC4">
              <w:rPr>
                <w:rFonts w:ascii="Times New Roman" w:hAnsi="Times New Roman"/>
                <w:sz w:val="24"/>
                <w:szCs w:val="24"/>
              </w:rPr>
              <w:t>9</w:t>
            </w:r>
            <w:r w:rsidR="00591C61">
              <w:rPr>
                <w:rFonts w:ascii="Times New Roman" w:hAnsi="Times New Roman"/>
                <w:sz w:val="24"/>
                <w:szCs w:val="24"/>
              </w:rPr>
              <w:t xml:space="preserve">. </w:t>
            </w:r>
          </w:p>
          <w:p w:rsidR="00D82A7A" w:rsidRPr="0037504C" w:rsidRDefault="001D7DD2" w:rsidP="0037504C">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a</w:t>
            </w:r>
            <w:r w:rsidRPr="0037504C">
              <w:rPr>
                <w:rFonts w:ascii="Times New Roman" w:hAnsi="Times New Roman" w:cs="Times New Roman"/>
                <w:sz w:val="24"/>
                <w:szCs w:val="24"/>
              </w:rPr>
              <w:t>vizul Regiei Național</w:t>
            </w:r>
            <w:r w:rsidR="00591C61">
              <w:rPr>
                <w:rFonts w:ascii="Times New Roman" w:hAnsi="Times New Roman" w:cs="Times New Roman"/>
                <w:sz w:val="24"/>
                <w:szCs w:val="24"/>
              </w:rPr>
              <w:t>e a Pădurilor – Romsilva nr. 125/08</w:t>
            </w:r>
            <w:r w:rsidRPr="0037504C">
              <w:rPr>
                <w:rFonts w:ascii="Times New Roman" w:hAnsi="Times New Roman" w:cs="Times New Roman"/>
                <w:sz w:val="24"/>
                <w:szCs w:val="24"/>
              </w:rPr>
              <w:t>.0</w:t>
            </w:r>
            <w:r w:rsidR="00591C61">
              <w:rPr>
                <w:rFonts w:ascii="Times New Roman" w:hAnsi="Times New Roman" w:cs="Times New Roman"/>
                <w:sz w:val="24"/>
                <w:szCs w:val="24"/>
              </w:rPr>
              <w:t>4</w:t>
            </w:r>
            <w:r w:rsidRPr="0037504C">
              <w:rPr>
                <w:rFonts w:ascii="Times New Roman" w:hAnsi="Times New Roman" w:cs="Times New Roman"/>
                <w:sz w:val="24"/>
                <w:szCs w:val="24"/>
              </w:rPr>
              <w:t>.201</w:t>
            </w:r>
            <w:r w:rsidR="00591C61">
              <w:rPr>
                <w:rFonts w:ascii="Times New Roman" w:hAnsi="Times New Roman" w:cs="Times New Roman"/>
                <w:sz w:val="24"/>
                <w:szCs w:val="24"/>
              </w:rPr>
              <w:t>9</w:t>
            </w:r>
            <w:r w:rsidRPr="0037504C">
              <w:rPr>
                <w:rFonts w:ascii="Times New Roman" w:hAnsi="Times New Roman" w:cs="Times New Roman"/>
                <w:sz w:val="24"/>
                <w:szCs w:val="24"/>
              </w:rPr>
              <w:t>, pentru scoaterea definitivă</w:t>
            </w:r>
            <w:r w:rsidR="008B12A9">
              <w:rPr>
                <w:rFonts w:ascii="Times New Roman" w:hAnsi="Times New Roman" w:cs="Times New Roman"/>
                <w:sz w:val="24"/>
                <w:szCs w:val="24"/>
              </w:rPr>
              <w:t xml:space="preserve"> din fondul forestier național </w:t>
            </w:r>
            <w:r w:rsidRPr="0037504C">
              <w:rPr>
                <w:rFonts w:ascii="Times New Roman" w:hAnsi="Times New Roman" w:cs="Times New Roman"/>
                <w:sz w:val="24"/>
                <w:szCs w:val="24"/>
              </w:rPr>
              <w:t xml:space="preserve">a terenului forestier </w:t>
            </w:r>
            <w:r w:rsidR="00A05A8B">
              <w:rPr>
                <w:rFonts w:ascii="Times New Roman" w:hAnsi="Times New Roman" w:cs="Times New Roman"/>
                <w:sz w:val="24"/>
                <w:szCs w:val="24"/>
              </w:rPr>
              <w:t>în suprafață de 23,9733</w:t>
            </w:r>
            <w:r w:rsidR="004A5D36" w:rsidRPr="0037504C">
              <w:rPr>
                <w:rFonts w:ascii="Times New Roman" w:hAnsi="Times New Roman" w:cs="Times New Roman"/>
                <w:sz w:val="24"/>
                <w:szCs w:val="24"/>
              </w:rPr>
              <w:t xml:space="preserve"> ha, aflat în proprietatea publică a statului și administrarea Regiei N</w:t>
            </w:r>
            <w:r w:rsidR="005D136C">
              <w:rPr>
                <w:rFonts w:ascii="Times New Roman" w:hAnsi="Times New Roman" w:cs="Times New Roman"/>
                <w:sz w:val="24"/>
                <w:szCs w:val="24"/>
              </w:rPr>
              <w:t>aționale a Pădurilor – Romsilva;</w:t>
            </w:r>
          </w:p>
          <w:p w:rsidR="004A5D36" w:rsidRPr="0037504C" w:rsidRDefault="004A5D36" w:rsidP="0037504C">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a</w:t>
            </w:r>
            <w:r w:rsidRPr="0037504C">
              <w:rPr>
                <w:rFonts w:ascii="Times New Roman" w:hAnsi="Times New Roman" w:cs="Times New Roman"/>
                <w:sz w:val="24"/>
                <w:szCs w:val="24"/>
              </w:rPr>
              <w:t>vizul</w:t>
            </w:r>
            <w:r w:rsidR="00A05A8B">
              <w:rPr>
                <w:rFonts w:ascii="Times New Roman" w:hAnsi="Times New Roman" w:cs="Times New Roman"/>
                <w:sz w:val="24"/>
                <w:szCs w:val="24"/>
              </w:rPr>
              <w:t xml:space="preserve"> Ocolului Silvic Motru nr. 10382/28</w:t>
            </w:r>
            <w:r w:rsidRPr="0037504C">
              <w:rPr>
                <w:rFonts w:ascii="Times New Roman" w:hAnsi="Times New Roman" w:cs="Times New Roman"/>
                <w:sz w:val="24"/>
                <w:szCs w:val="24"/>
              </w:rPr>
              <w:t>.0</w:t>
            </w:r>
            <w:r w:rsidR="00A05A8B">
              <w:rPr>
                <w:rFonts w:ascii="Times New Roman" w:hAnsi="Times New Roman" w:cs="Times New Roman"/>
                <w:sz w:val="24"/>
                <w:szCs w:val="24"/>
              </w:rPr>
              <w:t>2.2019</w:t>
            </w:r>
            <w:r w:rsidRPr="0037504C">
              <w:rPr>
                <w:rFonts w:ascii="Times New Roman" w:hAnsi="Times New Roman" w:cs="Times New Roman"/>
                <w:sz w:val="24"/>
                <w:szCs w:val="24"/>
              </w:rPr>
              <w:t>, pentru scoaterea definitivă din fondul forestier național</w:t>
            </w:r>
            <w:r w:rsidR="00A05A8B">
              <w:rPr>
                <w:rFonts w:ascii="Times New Roman" w:hAnsi="Times New Roman" w:cs="Times New Roman"/>
                <w:sz w:val="24"/>
                <w:szCs w:val="24"/>
              </w:rPr>
              <w:t xml:space="preserve"> </w:t>
            </w:r>
            <w:r w:rsidRPr="0037504C">
              <w:rPr>
                <w:rFonts w:ascii="Times New Roman" w:hAnsi="Times New Roman" w:cs="Times New Roman"/>
                <w:sz w:val="24"/>
                <w:szCs w:val="24"/>
              </w:rPr>
              <w:t>a terenu</w:t>
            </w:r>
            <w:r w:rsidR="00A05A8B">
              <w:rPr>
                <w:rFonts w:ascii="Times New Roman" w:hAnsi="Times New Roman" w:cs="Times New Roman"/>
                <w:sz w:val="24"/>
                <w:szCs w:val="24"/>
              </w:rPr>
              <w:t>lui forestier în suprafață de 4,5930</w:t>
            </w:r>
            <w:r w:rsidRPr="0037504C">
              <w:rPr>
                <w:rFonts w:ascii="Times New Roman" w:hAnsi="Times New Roman" w:cs="Times New Roman"/>
                <w:sz w:val="24"/>
                <w:szCs w:val="24"/>
              </w:rPr>
              <w:t xml:space="preserve"> ha,</w:t>
            </w:r>
            <w:r w:rsidR="007A5D12" w:rsidRPr="0037504C">
              <w:rPr>
                <w:rFonts w:ascii="Times New Roman" w:hAnsi="Times New Roman" w:cs="Times New Roman"/>
                <w:sz w:val="24"/>
                <w:szCs w:val="24"/>
              </w:rPr>
              <w:t xml:space="preserve"> aflat în proprietatea publică a statului, </w:t>
            </w:r>
            <w:r w:rsidR="008B12A9">
              <w:rPr>
                <w:rFonts w:ascii="Times New Roman" w:hAnsi="Times New Roman" w:cs="Times New Roman"/>
                <w:sz w:val="24"/>
                <w:szCs w:val="24"/>
              </w:rPr>
              <w:t>ș</w:t>
            </w:r>
            <w:r w:rsidR="007A5D12" w:rsidRPr="0037504C">
              <w:rPr>
                <w:rFonts w:ascii="Times New Roman" w:hAnsi="Times New Roman" w:cs="Times New Roman"/>
                <w:sz w:val="24"/>
                <w:szCs w:val="24"/>
              </w:rPr>
              <w:t xml:space="preserve">i administrarea Ministerului Energiei prin Societatea Complexul Energetic Oltenia SA, dobândit prin expropriere în condițiile </w:t>
            </w:r>
            <w:r w:rsidR="007A5D12" w:rsidRPr="00A17F8E">
              <w:rPr>
                <w:rFonts w:ascii="Times New Roman" w:hAnsi="Times New Roman" w:cs="Times New Roman"/>
                <w:i/>
                <w:sz w:val="24"/>
                <w:szCs w:val="24"/>
              </w:rPr>
              <w:t>Legii nr. 255/2010 privind exproprierea pentru cauză de utilitate publică, necesară realizării unor obiective de interes național, județean și local</w:t>
            </w:r>
            <w:r w:rsidR="007A5D12" w:rsidRPr="0037504C">
              <w:rPr>
                <w:rFonts w:ascii="Times New Roman" w:hAnsi="Times New Roman" w:cs="Times New Roman"/>
                <w:sz w:val="24"/>
                <w:szCs w:val="24"/>
              </w:rPr>
              <w:t>, cu modificările și completările ulterioare</w:t>
            </w:r>
            <w:r w:rsidR="00C53A53" w:rsidRPr="0037504C">
              <w:rPr>
                <w:rFonts w:ascii="Times New Roman" w:hAnsi="Times New Roman" w:cs="Times New Roman"/>
                <w:sz w:val="24"/>
                <w:szCs w:val="24"/>
              </w:rPr>
              <w:t xml:space="preserve">, pentru </w:t>
            </w:r>
            <w:r w:rsidR="005D136C">
              <w:rPr>
                <w:rFonts w:ascii="Times New Roman" w:hAnsi="Times New Roman" w:cs="Times New Roman"/>
                <w:sz w:val="24"/>
                <w:szCs w:val="24"/>
              </w:rPr>
              <w:t>care asigură serviciile silvice;</w:t>
            </w:r>
          </w:p>
          <w:p w:rsidR="00750363"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a</w:t>
            </w:r>
            <w:r w:rsidRPr="0037504C">
              <w:rPr>
                <w:rFonts w:ascii="Times New Roman" w:hAnsi="Times New Roman" w:cs="Times New Roman"/>
                <w:sz w:val="24"/>
                <w:szCs w:val="24"/>
              </w:rPr>
              <w:t>cord</w:t>
            </w:r>
            <w:r w:rsidR="008B12A9">
              <w:rPr>
                <w:rFonts w:ascii="Times New Roman" w:hAnsi="Times New Roman" w:cs="Times New Roman"/>
                <w:sz w:val="24"/>
                <w:szCs w:val="24"/>
              </w:rPr>
              <w:t>ul</w:t>
            </w:r>
            <w:r w:rsidR="00A05A8B">
              <w:rPr>
                <w:rFonts w:ascii="Times New Roman" w:hAnsi="Times New Roman" w:cs="Times New Roman"/>
                <w:sz w:val="24"/>
                <w:szCs w:val="24"/>
              </w:rPr>
              <w:t xml:space="preserve"> de mediu nr. 12</w:t>
            </w:r>
            <w:r w:rsidR="002F4728" w:rsidRPr="0037504C">
              <w:rPr>
                <w:rFonts w:ascii="Times New Roman" w:hAnsi="Times New Roman" w:cs="Times New Roman"/>
                <w:sz w:val="24"/>
                <w:szCs w:val="24"/>
              </w:rPr>
              <w:t>/0</w:t>
            </w:r>
            <w:r w:rsidR="004F7DEC" w:rsidRPr="0037504C">
              <w:rPr>
                <w:rFonts w:ascii="Times New Roman" w:hAnsi="Times New Roman" w:cs="Times New Roman"/>
                <w:sz w:val="24"/>
                <w:szCs w:val="24"/>
              </w:rPr>
              <w:t>9</w:t>
            </w:r>
            <w:r w:rsidR="00A05A8B">
              <w:rPr>
                <w:rFonts w:ascii="Times New Roman" w:hAnsi="Times New Roman" w:cs="Times New Roman"/>
                <w:sz w:val="24"/>
                <w:szCs w:val="24"/>
              </w:rPr>
              <w:t>.12</w:t>
            </w:r>
            <w:r w:rsidRPr="0037504C">
              <w:rPr>
                <w:rFonts w:ascii="Times New Roman" w:hAnsi="Times New Roman" w:cs="Times New Roman"/>
                <w:sz w:val="24"/>
                <w:szCs w:val="24"/>
              </w:rPr>
              <w:t>.2016 emis de către Agenția pentru Protecția Mediului Gorj. Potrivit acordului de mediu, defrișarea vegetației forestiere se face eșalonat, strict pentru asigurarea frontului de lucru, în a</w:t>
            </w:r>
            <w:r w:rsidR="005D136C">
              <w:rPr>
                <w:rFonts w:ascii="Times New Roman" w:hAnsi="Times New Roman" w:cs="Times New Roman"/>
                <w:sz w:val="24"/>
                <w:szCs w:val="24"/>
              </w:rPr>
              <w:t>nul în curs pentru anul următor;</w:t>
            </w:r>
          </w:p>
          <w:p w:rsidR="002F4728" w:rsidRPr="0037504C" w:rsidRDefault="002F4728"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a</w:t>
            </w:r>
            <w:r w:rsidR="00DD22D5">
              <w:rPr>
                <w:rFonts w:ascii="Times New Roman" w:hAnsi="Times New Roman" w:cs="Times New Roman"/>
                <w:sz w:val="24"/>
                <w:szCs w:val="24"/>
              </w:rPr>
              <w:t>nexa nr. 1 din 05</w:t>
            </w:r>
            <w:r w:rsidRPr="0037504C">
              <w:rPr>
                <w:rFonts w:ascii="Times New Roman" w:hAnsi="Times New Roman" w:cs="Times New Roman"/>
                <w:sz w:val="24"/>
                <w:szCs w:val="24"/>
              </w:rPr>
              <w:t>.0</w:t>
            </w:r>
            <w:r w:rsidR="00DD22D5">
              <w:rPr>
                <w:rFonts w:ascii="Times New Roman" w:hAnsi="Times New Roman" w:cs="Times New Roman"/>
                <w:sz w:val="24"/>
                <w:szCs w:val="24"/>
              </w:rPr>
              <w:t>2</w:t>
            </w:r>
            <w:r w:rsidRPr="0037504C">
              <w:rPr>
                <w:rFonts w:ascii="Times New Roman" w:hAnsi="Times New Roman" w:cs="Times New Roman"/>
                <w:sz w:val="24"/>
                <w:szCs w:val="24"/>
              </w:rPr>
              <w:t>.201</w:t>
            </w:r>
            <w:r w:rsidR="00DD22D5">
              <w:rPr>
                <w:rFonts w:ascii="Times New Roman" w:hAnsi="Times New Roman" w:cs="Times New Roman"/>
                <w:sz w:val="24"/>
                <w:szCs w:val="24"/>
              </w:rPr>
              <w:t>9 la Acordul de mediu nr. 12</w:t>
            </w:r>
            <w:r w:rsidRPr="0037504C">
              <w:rPr>
                <w:rFonts w:ascii="Times New Roman" w:hAnsi="Times New Roman" w:cs="Times New Roman"/>
                <w:sz w:val="24"/>
                <w:szCs w:val="24"/>
              </w:rPr>
              <w:t>/09.</w:t>
            </w:r>
            <w:r w:rsidR="00DD22D5">
              <w:rPr>
                <w:rFonts w:ascii="Times New Roman" w:hAnsi="Times New Roman" w:cs="Times New Roman"/>
                <w:sz w:val="24"/>
                <w:szCs w:val="24"/>
              </w:rPr>
              <w:t>12</w:t>
            </w:r>
            <w:r w:rsidRPr="0037504C">
              <w:rPr>
                <w:rFonts w:ascii="Times New Roman" w:hAnsi="Times New Roman" w:cs="Times New Roman"/>
                <w:sz w:val="24"/>
                <w:szCs w:val="24"/>
              </w:rPr>
              <w:t>.2016</w:t>
            </w:r>
            <w:r w:rsidR="005D136C">
              <w:rPr>
                <w:rFonts w:ascii="Times New Roman" w:hAnsi="Times New Roman" w:cs="Times New Roman"/>
                <w:sz w:val="24"/>
                <w:szCs w:val="24"/>
              </w:rPr>
              <w:t>;</w:t>
            </w:r>
          </w:p>
          <w:p w:rsidR="00091238" w:rsidRDefault="00091238"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lastRenderedPageBreak/>
              <w:t xml:space="preserve">- </w:t>
            </w:r>
            <w:r w:rsidR="00A17F8E">
              <w:rPr>
                <w:rFonts w:ascii="Times New Roman" w:hAnsi="Times New Roman" w:cs="Times New Roman"/>
                <w:sz w:val="24"/>
                <w:szCs w:val="24"/>
              </w:rPr>
              <w:t>d</w:t>
            </w:r>
            <w:r w:rsidR="00DD22D5">
              <w:rPr>
                <w:rFonts w:ascii="Times New Roman" w:hAnsi="Times New Roman" w:cs="Times New Roman"/>
                <w:sz w:val="24"/>
                <w:szCs w:val="24"/>
              </w:rPr>
              <w:t>ecizia de expropriere nr. 2840/05.12</w:t>
            </w:r>
            <w:r w:rsidR="005D136C">
              <w:rPr>
                <w:rFonts w:ascii="Times New Roman" w:hAnsi="Times New Roman" w:cs="Times New Roman"/>
                <w:sz w:val="24"/>
                <w:szCs w:val="24"/>
              </w:rPr>
              <w:t>.201</w:t>
            </w:r>
            <w:r w:rsidR="00DD22D5">
              <w:rPr>
                <w:rFonts w:ascii="Times New Roman" w:hAnsi="Times New Roman" w:cs="Times New Roman"/>
                <w:sz w:val="24"/>
                <w:szCs w:val="24"/>
              </w:rPr>
              <w:t>8</w:t>
            </w:r>
            <w:r w:rsidR="005D136C">
              <w:rPr>
                <w:rFonts w:ascii="Times New Roman" w:hAnsi="Times New Roman" w:cs="Times New Roman"/>
                <w:sz w:val="24"/>
                <w:szCs w:val="24"/>
              </w:rPr>
              <w:t xml:space="preserve"> și anexa acesteia;</w:t>
            </w:r>
          </w:p>
          <w:p w:rsidR="00F106D4" w:rsidRPr="005C0BEB" w:rsidRDefault="00F106D4" w:rsidP="0037504C">
            <w:pPr>
              <w:autoSpaceDE w:val="0"/>
              <w:autoSpaceDN w:val="0"/>
              <w:adjustRightInd w:val="0"/>
              <w:spacing w:after="0" w:line="240" w:lineRule="auto"/>
              <w:ind w:firstLine="503"/>
              <w:jc w:val="both"/>
              <w:rPr>
                <w:rFonts w:ascii="Times New Roman" w:hAnsi="Times New Roman" w:cs="Times New Roman"/>
                <w:sz w:val="24"/>
                <w:szCs w:val="24"/>
              </w:rPr>
            </w:pPr>
            <w:r w:rsidRPr="005C0BEB">
              <w:rPr>
                <w:rFonts w:ascii="Times New Roman" w:hAnsi="Times New Roman" w:cs="Times New Roman"/>
                <w:sz w:val="24"/>
                <w:szCs w:val="24"/>
              </w:rPr>
              <w:t xml:space="preserve">- </w:t>
            </w:r>
            <w:r w:rsidR="00A17F8E">
              <w:rPr>
                <w:rFonts w:ascii="Times New Roman" w:hAnsi="Times New Roman" w:cs="Times New Roman"/>
                <w:sz w:val="24"/>
                <w:szCs w:val="24"/>
              </w:rPr>
              <w:t>e</w:t>
            </w:r>
            <w:r w:rsidRPr="005C0BEB">
              <w:rPr>
                <w:rFonts w:ascii="Times New Roman" w:hAnsi="Times New Roman" w:cs="Times New Roman"/>
                <w:sz w:val="24"/>
                <w:szCs w:val="24"/>
              </w:rPr>
              <w:t>xt</w:t>
            </w:r>
            <w:r w:rsidR="005C0BEB" w:rsidRPr="005C0BEB">
              <w:rPr>
                <w:rFonts w:ascii="Times New Roman" w:hAnsi="Times New Roman" w:cs="Times New Roman"/>
                <w:sz w:val="24"/>
                <w:szCs w:val="24"/>
              </w:rPr>
              <w:t>rasul de Carte funcia</w:t>
            </w:r>
            <w:r w:rsidR="00220C8E">
              <w:rPr>
                <w:rFonts w:ascii="Times New Roman" w:hAnsi="Times New Roman" w:cs="Times New Roman"/>
                <w:sz w:val="24"/>
                <w:szCs w:val="24"/>
              </w:rPr>
              <w:t>ră nr. 37921</w:t>
            </w:r>
            <w:r w:rsidR="005C0BEB" w:rsidRPr="005C0BEB">
              <w:rPr>
                <w:rFonts w:ascii="Times New Roman" w:hAnsi="Times New Roman" w:cs="Times New Roman"/>
                <w:sz w:val="24"/>
                <w:szCs w:val="24"/>
              </w:rPr>
              <w:t xml:space="preserve"> </w:t>
            </w:r>
            <w:r w:rsidR="005C0BEB" w:rsidRPr="005C0BEB">
              <w:rPr>
                <w:rFonts w:ascii="Times New Roman" w:hAnsi="Times New Roman"/>
                <w:sz w:val="24"/>
                <w:szCs w:val="24"/>
              </w:rPr>
              <w:t>UAT Mătăsari, emis de OCPI Gor</w:t>
            </w:r>
            <w:r w:rsidR="00220C8E">
              <w:rPr>
                <w:rFonts w:ascii="Times New Roman" w:hAnsi="Times New Roman"/>
                <w:sz w:val="24"/>
                <w:szCs w:val="24"/>
              </w:rPr>
              <w:t>j – BCPI Târgu Jiu la data de 11</w:t>
            </w:r>
            <w:r w:rsidR="005C0BEB" w:rsidRPr="005C0BEB">
              <w:rPr>
                <w:rFonts w:ascii="Times New Roman" w:hAnsi="Times New Roman"/>
                <w:sz w:val="24"/>
                <w:szCs w:val="24"/>
              </w:rPr>
              <w:t>.0</w:t>
            </w:r>
            <w:r w:rsidR="00220C8E">
              <w:rPr>
                <w:rFonts w:ascii="Times New Roman" w:hAnsi="Times New Roman"/>
                <w:sz w:val="24"/>
                <w:szCs w:val="24"/>
              </w:rPr>
              <w:t>3</w:t>
            </w:r>
            <w:r w:rsidR="005C0BEB" w:rsidRPr="005C0BEB">
              <w:rPr>
                <w:rFonts w:ascii="Times New Roman" w:hAnsi="Times New Roman"/>
                <w:sz w:val="24"/>
                <w:szCs w:val="24"/>
              </w:rPr>
              <w:t>.201</w:t>
            </w:r>
            <w:r w:rsidR="00220C8E">
              <w:rPr>
                <w:rFonts w:ascii="Times New Roman" w:hAnsi="Times New Roman"/>
                <w:sz w:val="24"/>
                <w:szCs w:val="24"/>
              </w:rPr>
              <w:t>9</w:t>
            </w:r>
            <w:r w:rsidR="005D136C">
              <w:rPr>
                <w:rFonts w:ascii="Times New Roman" w:hAnsi="Times New Roman"/>
                <w:sz w:val="24"/>
                <w:szCs w:val="24"/>
              </w:rPr>
              <w:t>;</w:t>
            </w:r>
          </w:p>
          <w:p w:rsidR="00C441AE" w:rsidRPr="00A91D82" w:rsidRDefault="00220C8E" w:rsidP="0037504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C441AE">
              <w:rPr>
                <w:rFonts w:ascii="Times New Roman" w:hAnsi="Times New Roman" w:cs="Times New Roman"/>
                <w:sz w:val="24"/>
                <w:szCs w:val="24"/>
              </w:rPr>
              <w:t xml:space="preserve">- </w:t>
            </w:r>
            <w:r w:rsidR="00A17F8E" w:rsidRPr="00A91D82">
              <w:rPr>
                <w:rFonts w:ascii="Times New Roman" w:hAnsi="Times New Roman" w:cs="Times New Roman"/>
                <w:sz w:val="24"/>
                <w:szCs w:val="24"/>
              </w:rPr>
              <w:t>a</w:t>
            </w:r>
            <w:r w:rsidR="00C441AE" w:rsidRPr="00A91D82">
              <w:rPr>
                <w:rFonts w:ascii="Times New Roman" w:hAnsi="Times New Roman" w:cs="Times New Roman"/>
                <w:sz w:val="24"/>
                <w:szCs w:val="24"/>
              </w:rPr>
              <w:t>dresa Primăriei Comu</w:t>
            </w:r>
            <w:r w:rsidR="00A91D82" w:rsidRPr="00A91D82">
              <w:rPr>
                <w:rFonts w:ascii="Times New Roman" w:hAnsi="Times New Roman" w:cs="Times New Roman"/>
                <w:sz w:val="24"/>
                <w:szCs w:val="24"/>
              </w:rPr>
              <w:t>nei Mătăsari nr. 3174/15</w:t>
            </w:r>
            <w:r w:rsidR="006D6946" w:rsidRPr="00A91D82">
              <w:rPr>
                <w:rFonts w:ascii="Times New Roman" w:hAnsi="Times New Roman" w:cs="Times New Roman"/>
                <w:sz w:val="24"/>
                <w:szCs w:val="24"/>
              </w:rPr>
              <w:t>.05.2019</w:t>
            </w:r>
            <w:r w:rsidR="006A4694" w:rsidRPr="00A91D82">
              <w:rPr>
                <w:rFonts w:ascii="Times New Roman" w:hAnsi="Times New Roman" w:cs="Times New Roman"/>
                <w:sz w:val="24"/>
                <w:szCs w:val="24"/>
              </w:rPr>
              <w:t>;</w:t>
            </w:r>
          </w:p>
          <w:p w:rsidR="00D82A7A" w:rsidRPr="00CE629E"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 </w:t>
            </w:r>
            <w:r w:rsidR="00A17F8E">
              <w:rPr>
                <w:rFonts w:ascii="Times New Roman" w:hAnsi="Times New Roman" w:cs="Times New Roman"/>
                <w:sz w:val="24"/>
                <w:szCs w:val="24"/>
              </w:rPr>
              <w:t>a</w:t>
            </w:r>
            <w:r w:rsidRPr="00CE629E">
              <w:rPr>
                <w:rFonts w:ascii="Times New Roman" w:hAnsi="Times New Roman" w:cs="Times New Roman"/>
                <w:sz w:val="24"/>
                <w:szCs w:val="24"/>
              </w:rPr>
              <w:t>vizul Gărzii</w:t>
            </w:r>
            <w:r w:rsidR="00220C8E">
              <w:rPr>
                <w:rFonts w:ascii="Times New Roman" w:hAnsi="Times New Roman" w:cs="Times New Roman"/>
                <w:sz w:val="24"/>
                <w:szCs w:val="24"/>
              </w:rPr>
              <w:t xml:space="preserve"> </w:t>
            </w:r>
            <w:r w:rsidR="00A17F8E">
              <w:rPr>
                <w:rFonts w:ascii="Times New Roman" w:hAnsi="Times New Roman" w:cs="Times New Roman"/>
                <w:sz w:val="24"/>
                <w:szCs w:val="24"/>
              </w:rPr>
              <w:t>f</w:t>
            </w:r>
            <w:r w:rsidR="00EB29B6">
              <w:rPr>
                <w:rFonts w:ascii="Times New Roman" w:hAnsi="Times New Roman" w:cs="Times New Roman"/>
                <w:sz w:val="24"/>
                <w:szCs w:val="24"/>
              </w:rPr>
              <w:t>orestiere Râmnicu Vâlcea nr. 12/15</w:t>
            </w:r>
            <w:r w:rsidR="00CE629E" w:rsidRPr="00CE629E">
              <w:rPr>
                <w:rFonts w:ascii="Times New Roman" w:hAnsi="Times New Roman" w:cs="Times New Roman"/>
                <w:sz w:val="24"/>
                <w:szCs w:val="24"/>
              </w:rPr>
              <w:t>.0</w:t>
            </w:r>
            <w:r w:rsidR="00EB29B6">
              <w:rPr>
                <w:rFonts w:ascii="Times New Roman" w:hAnsi="Times New Roman" w:cs="Times New Roman"/>
                <w:sz w:val="24"/>
                <w:szCs w:val="24"/>
              </w:rPr>
              <w:t>4</w:t>
            </w:r>
            <w:r w:rsidR="00CE629E" w:rsidRPr="00CE629E">
              <w:rPr>
                <w:rFonts w:ascii="Times New Roman" w:hAnsi="Times New Roman" w:cs="Times New Roman"/>
                <w:sz w:val="24"/>
                <w:szCs w:val="24"/>
              </w:rPr>
              <w:t>.201</w:t>
            </w:r>
            <w:r w:rsidR="00EB29B6">
              <w:rPr>
                <w:rFonts w:ascii="Times New Roman" w:hAnsi="Times New Roman" w:cs="Times New Roman"/>
                <w:sz w:val="24"/>
                <w:szCs w:val="24"/>
              </w:rPr>
              <w:t>9</w:t>
            </w:r>
            <w:r w:rsidR="006A4694">
              <w:rPr>
                <w:rFonts w:ascii="Times New Roman" w:hAnsi="Times New Roman" w:cs="Times New Roman"/>
                <w:sz w:val="24"/>
                <w:szCs w:val="24"/>
              </w:rPr>
              <w:t>.</w:t>
            </w:r>
          </w:p>
          <w:p w:rsidR="002F6085" w:rsidRPr="0037504C" w:rsidRDefault="002F6085" w:rsidP="0037504C">
            <w:pPr>
              <w:spacing w:after="0" w:line="240" w:lineRule="auto"/>
              <w:ind w:firstLine="720"/>
              <w:jc w:val="both"/>
              <w:rPr>
                <w:rFonts w:ascii="Times New Roman" w:hAnsi="Times New Roman" w:cs="Times New Roman"/>
                <w:sz w:val="24"/>
                <w:szCs w:val="24"/>
              </w:rPr>
            </w:pPr>
            <w:r w:rsidRPr="0037504C">
              <w:rPr>
                <w:rFonts w:ascii="Times New Roman" w:hAnsi="Times New Roman" w:cs="Times New Roman"/>
                <w:sz w:val="24"/>
                <w:szCs w:val="24"/>
              </w:rPr>
              <w:t>Terenul forest</w:t>
            </w:r>
            <w:r w:rsidR="00EB29B6">
              <w:rPr>
                <w:rFonts w:ascii="Times New Roman" w:hAnsi="Times New Roman" w:cs="Times New Roman"/>
                <w:sz w:val="24"/>
                <w:szCs w:val="24"/>
              </w:rPr>
              <w:t>ier în suprafață de 28,5663</w:t>
            </w:r>
            <w:r w:rsidR="00E461A9" w:rsidRPr="0037504C">
              <w:rPr>
                <w:rFonts w:ascii="Times New Roman" w:hAnsi="Times New Roman" w:cs="Times New Roman"/>
                <w:sz w:val="24"/>
                <w:szCs w:val="24"/>
              </w:rPr>
              <w:t xml:space="preserve"> ha, pentru care se solicită scoaterea definitivă din fondul forestier național se </w:t>
            </w:r>
            <w:r w:rsidRPr="0037504C">
              <w:rPr>
                <w:rFonts w:ascii="Times New Roman" w:hAnsi="Times New Roman" w:cs="Times New Roman"/>
                <w:sz w:val="24"/>
                <w:szCs w:val="24"/>
              </w:rPr>
              <w:t>află în proprietatea publică a statului și se compune din terenul forestier în suprafață</w:t>
            </w:r>
            <w:r w:rsidR="00EB29B6">
              <w:rPr>
                <w:rFonts w:ascii="Times New Roman" w:hAnsi="Times New Roman" w:cs="Times New Roman"/>
                <w:sz w:val="24"/>
                <w:szCs w:val="24"/>
              </w:rPr>
              <w:t xml:space="preserve"> de 23</w:t>
            </w:r>
            <w:r w:rsidRPr="0037504C">
              <w:rPr>
                <w:rFonts w:ascii="Times New Roman" w:hAnsi="Times New Roman" w:cs="Times New Roman"/>
                <w:sz w:val="24"/>
                <w:szCs w:val="24"/>
              </w:rPr>
              <w:t>,</w:t>
            </w:r>
            <w:r w:rsidR="00EB29B6">
              <w:rPr>
                <w:rFonts w:ascii="Times New Roman" w:hAnsi="Times New Roman" w:cs="Times New Roman"/>
                <w:sz w:val="24"/>
                <w:szCs w:val="24"/>
              </w:rPr>
              <w:t>9733</w:t>
            </w:r>
            <w:r w:rsidRPr="0037504C">
              <w:rPr>
                <w:rFonts w:ascii="Times New Roman" w:hAnsi="Times New Roman" w:cs="Times New Roman"/>
                <w:sz w:val="24"/>
                <w:szCs w:val="24"/>
              </w:rPr>
              <w:t xml:space="preserve"> ha, aflat în administrarea Regiei Naționale a Pădurilor - Romsilva și tere</w:t>
            </w:r>
            <w:r w:rsidR="00EB29B6">
              <w:rPr>
                <w:rFonts w:ascii="Times New Roman" w:hAnsi="Times New Roman" w:cs="Times New Roman"/>
                <w:sz w:val="24"/>
                <w:szCs w:val="24"/>
              </w:rPr>
              <w:t>nul forestier în suprafață de 4</w:t>
            </w:r>
            <w:r w:rsidRPr="0037504C">
              <w:rPr>
                <w:rFonts w:ascii="Times New Roman" w:hAnsi="Times New Roman" w:cs="Times New Roman"/>
                <w:sz w:val="24"/>
                <w:szCs w:val="24"/>
              </w:rPr>
              <w:t>,</w:t>
            </w:r>
            <w:r w:rsidR="002643A8">
              <w:rPr>
                <w:rFonts w:ascii="Times New Roman" w:hAnsi="Times New Roman" w:cs="Times New Roman"/>
                <w:sz w:val="24"/>
                <w:szCs w:val="24"/>
              </w:rPr>
              <w:t>5930</w:t>
            </w:r>
            <w:r w:rsidRPr="0037504C">
              <w:rPr>
                <w:rFonts w:ascii="Times New Roman" w:hAnsi="Times New Roman" w:cs="Times New Roman"/>
                <w:sz w:val="24"/>
                <w:szCs w:val="24"/>
              </w:rPr>
              <w:t xml:space="preserve"> ha, aflat în administrarea Ministerului Energiei, prin Societatea Complexul Energetic Oltenia SA, dobândit în condiţiile Legii nr. 255/2010 privind exproprierea pentru cauză de utilitate publică, necesară realizării unor obiective de interes naţional, judeţean şi local, cu modificările şi completările ulterioare, pentru care serviciile silvice sunt asigurate de către Ocolul Silvic Motru din cadrul Regiei Naționale a Pădurilor – Romsilva, Direcția Silvică Gorj. </w:t>
            </w:r>
          </w:p>
          <w:p w:rsidR="00E461A9" w:rsidRPr="0037504C" w:rsidRDefault="00E461A9" w:rsidP="0037504C">
            <w:pPr>
              <w:spacing w:after="0" w:line="240" w:lineRule="auto"/>
              <w:ind w:firstLine="720"/>
              <w:jc w:val="both"/>
              <w:rPr>
                <w:rFonts w:ascii="Times New Roman" w:hAnsi="Times New Roman" w:cs="Times New Roman"/>
                <w:sz w:val="24"/>
                <w:szCs w:val="24"/>
              </w:rPr>
            </w:pPr>
            <w:r w:rsidRPr="0037504C">
              <w:rPr>
                <w:rFonts w:ascii="Times New Roman" w:hAnsi="Times New Roman" w:cs="Times New Roman"/>
                <w:sz w:val="24"/>
                <w:szCs w:val="24"/>
              </w:rPr>
              <w:t>Tere</w:t>
            </w:r>
            <w:r w:rsidR="002643A8">
              <w:rPr>
                <w:rFonts w:ascii="Times New Roman" w:hAnsi="Times New Roman" w:cs="Times New Roman"/>
                <w:sz w:val="24"/>
                <w:szCs w:val="24"/>
              </w:rPr>
              <w:t>nul forestier în suprafață de 23,9733</w:t>
            </w:r>
            <w:r w:rsidR="007510A4">
              <w:rPr>
                <w:rFonts w:ascii="Times New Roman" w:hAnsi="Times New Roman" w:cs="Times New Roman"/>
                <w:sz w:val="24"/>
                <w:szCs w:val="24"/>
              </w:rPr>
              <w:t xml:space="preserve"> </w:t>
            </w:r>
            <w:r w:rsidRPr="0037504C">
              <w:rPr>
                <w:rFonts w:ascii="Times New Roman" w:hAnsi="Times New Roman" w:cs="Times New Roman"/>
                <w:sz w:val="24"/>
                <w:szCs w:val="24"/>
              </w:rPr>
              <w:t xml:space="preserve">ha, este amplasat pe raza Ocolului Silvic Motru din cadrul Direcției Silvice Gorj, U.P. III Drăgotești, în </w:t>
            </w:r>
            <w:r w:rsidR="00384876">
              <w:rPr>
                <w:rFonts w:ascii="Times New Roman" w:hAnsi="Times New Roman" w:cs="Times New Roman"/>
                <w:sz w:val="24"/>
                <w:szCs w:val="24"/>
              </w:rPr>
              <w:t>în u.a. 44 A% = 6,9934 ha, u.a. 44 B% = 2,3323 ha, u.a. 45 = 1,2018 ha,</w:t>
            </w:r>
            <w:r w:rsidR="00384876" w:rsidRPr="00C14F51">
              <w:rPr>
                <w:rFonts w:ascii="Times New Roman" w:hAnsi="Times New Roman" w:cs="Times New Roman"/>
                <w:sz w:val="24"/>
                <w:szCs w:val="24"/>
              </w:rPr>
              <w:t xml:space="preserve"> </w:t>
            </w:r>
            <w:r w:rsidR="00384876">
              <w:rPr>
                <w:rFonts w:ascii="Times New Roman" w:hAnsi="Times New Roman" w:cs="Times New Roman"/>
                <w:sz w:val="24"/>
                <w:szCs w:val="24"/>
              </w:rPr>
              <w:t>u.a. 60 % = 4,9407 ha,</w:t>
            </w:r>
            <w:r w:rsidR="00384876" w:rsidRPr="00C14F51">
              <w:rPr>
                <w:rFonts w:ascii="Times New Roman" w:hAnsi="Times New Roman" w:cs="Times New Roman"/>
                <w:sz w:val="24"/>
                <w:szCs w:val="24"/>
              </w:rPr>
              <w:t xml:space="preserve"> </w:t>
            </w:r>
            <w:r w:rsidR="00384876">
              <w:rPr>
                <w:rFonts w:ascii="Times New Roman" w:hAnsi="Times New Roman" w:cs="Times New Roman"/>
                <w:sz w:val="24"/>
                <w:szCs w:val="24"/>
              </w:rPr>
              <w:t>u.a. 61 = 1,0088 ha și u.a. 62 = 7,4963 ha.</w:t>
            </w:r>
          </w:p>
          <w:p w:rsidR="007C1AA6" w:rsidRDefault="007C1AA6" w:rsidP="007C1A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Tere</w:t>
            </w:r>
            <w:r w:rsidR="00384876">
              <w:rPr>
                <w:rFonts w:ascii="Times New Roman" w:hAnsi="Times New Roman" w:cs="Times New Roman"/>
                <w:sz w:val="24"/>
                <w:szCs w:val="24"/>
              </w:rPr>
              <w:t>nul forestier în suprafață de 4,5930</w:t>
            </w:r>
            <w:r>
              <w:rPr>
                <w:rFonts w:ascii="Times New Roman" w:hAnsi="Times New Roman" w:cs="Times New Roman"/>
                <w:sz w:val="24"/>
                <w:szCs w:val="24"/>
              </w:rPr>
              <w:t xml:space="preserve"> ha </w:t>
            </w:r>
            <w:r w:rsidRPr="00F2260A">
              <w:rPr>
                <w:rFonts w:ascii="Times New Roman" w:hAnsi="Times New Roman" w:cs="Times New Roman"/>
                <w:sz w:val="24"/>
                <w:szCs w:val="24"/>
              </w:rPr>
              <w:t>este amplasat p</w:t>
            </w:r>
            <w:r>
              <w:rPr>
                <w:rFonts w:ascii="Times New Roman" w:hAnsi="Times New Roman" w:cs="Times New Roman"/>
                <w:sz w:val="24"/>
                <w:szCs w:val="24"/>
              </w:rPr>
              <w:t>e raza Ocolului Silvic Motru</w:t>
            </w:r>
            <w:r w:rsidRPr="00F2260A">
              <w:rPr>
                <w:rFonts w:ascii="Times New Roman" w:hAnsi="Times New Roman" w:cs="Times New Roman"/>
                <w:sz w:val="24"/>
                <w:szCs w:val="24"/>
              </w:rPr>
              <w:t xml:space="preserve"> din cadrul Direcției Silvice Gorj, U.P. I</w:t>
            </w:r>
            <w:r>
              <w:rPr>
                <w:rFonts w:ascii="Times New Roman" w:hAnsi="Times New Roman" w:cs="Times New Roman"/>
                <w:sz w:val="24"/>
                <w:szCs w:val="24"/>
              </w:rPr>
              <w:t xml:space="preserve">II Drăgotești, în </w:t>
            </w:r>
            <w:r w:rsidR="00384876">
              <w:rPr>
                <w:rFonts w:ascii="Times New Roman" w:hAnsi="Times New Roman" w:cs="Times New Roman"/>
                <w:sz w:val="24"/>
                <w:szCs w:val="24"/>
              </w:rPr>
              <w:t>u.a. 44 A% = 0,0788 ha, u.a. 60 = 0,2711 ha,</w:t>
            </w:r>
            <w:r w:rsidR="00384876" w:rsidRPr="00C14F51">
              <w:rPr>
                <w:rFonts w:ascii="Times New Roman" w:hAnsi="Times New Roman" w:cs="Times New Roman"/>
                <w:sz w:val="24"/>
                <w:szCs w:val="24"/>
              </w:rPr>
              <w:t xml:space="preserve"> </w:t>
            </w:r>
            <w:r w:rsidR="00384876">
              <w:rPr>
                <w:rFonts w:ascii="Times New Roman" w:hAnsi="Times New Roman" w:cs="Times New Roman"/>
                <w:sz w:val="24"/>
                <w:szCs w:val="24"/>
              </w:rPr>
              <w:t>u.a. 62 = 1,2412 ha, u.a. 63 % = 1,1018 ha, u.a. 64 = 0,2498 ha,</w:t>
            </w:r>
            <w:r w:rsidR="00384876" w:rsidRPr="005410CD">
              <w:rPr>
                <w:rFonts w:ascii="Times New Roman" w:hAnsi="Times New Roman" w:cs="Times New Roman"/>
                <w:sz w:val="24"/>
                <w:szCs w:val="24"/>
              </w:rPr>
              <w:t xml:space="preserve"> </w:t>
            </w:r>
            <w:r w:rsidR="00384876">
              <w:rPr>
                <w:rFonts w:ascii="Times New Roman" w:hAnsi="Times New Roman" w:cs="Times New Roman"/>
                <w:sz w:val="24"/>
                <w:szCs w:val="24"/>
              </w:rPr>
              <w:t>u.a. 66 A% = 0,8228 ha,</w:t>
            </w:r>
            <w:r w:rsidR="00384876" w:rsidRPr="005410CD">
              <w:rPr>
                <w:rFonts w:ascii="Times New Roman" w:hAnsi="Times New Roman" w:cs="Times New Roman"/>
                <w:sz w:val="24"/>
                <w:szCs w:val="24"/>
              </w:rPr>
              <w:t xml:space="preserve"> </w:t>
            </w:r>
            <w:r w:rsidR="00384876">
              <w:rPr>
                <w:rFonts w:ascii="Times New Roman" w:hAnsi="Times New Roman" w:cs="Times New Roman"/>
                <w:sz w:val="24"/>
                <w:szCs w:val="24"/>
              </w:rPr>
              <w:t>u.a. 66 B% = 0,2988 ha, u.a. 66 C% = 0,2171 ha, u.a. 66 F% = 0,2187 ha și u.a. 66 G% = 0,0929 ha.</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Potrivit art. 27 din Metodologia privind scoaterea definitivă, ocuparea temporară şi schimbul de terenuri şi de calcul al obligaţiilor băneşti, aprobată prin ordinul ministrului mediului, apelor și pădurilor nr. 694/2016, în cazul în care nu există amenajament silvic datele utilizate la întocmirea fişelor tehnice de transmitere-defrişare şi la calculul obligaţiilor băneşti, precum şi categoria de folosinţă se preiau din fişele de descriere parcelară a unităţilor amenajistice aferente terenurilor care fac obiectul scoaterii definitive sau ocupării </w:t>
            </w:r>
            <w:r w:rsidR="00384876">
              <w:rPr>
                <w:rFonts w:ascii="Times New Roman" w:hAnsi="Times New Roman" w:cs="Times New Roman"/>
                <w:sz w:val="24"/>
                <w:szCs w:val="24"/>
              </w:rPr>
              <w:t>t</w:t>
            </w:r>
            <w:r w:rsidRPr="0037504C">
              <w:rPr>
                <w:rFonts w:ascii="Times New Roman" w:hAnsi="Times New Roman" w:cs="Times New Roman"/>
                <w:sz w:val="24"/>
                <w:szCs w:val="24"/>
              </w:rPr>
              <w:t>emporare.</w:t>
            </w:r>
          </w:p>
          <w:p w:rsidR="00C441AE" w:rsidRDefault="00D82A7A" w:rsidP="003B4E2C">
            <w:pPr>
              <w:autoSpaceDE w:val="0"/>
              <w:autoSpaceDN w:val="0"/>
              <w:adjustRightInd w:val="0"/>
              <w:spacing w:after="0" w:line="240" w:lineRule="auto"/>
              <w:ind w:firstLine="503"/>
              <w:jc w:val="both"/>
              <w:rPr>
                <w:rFonts w:ascii="Times New Roman" w:hAnsi="Times New Roman"/>
                <w:sz w:val="24"/>
                <w:szCs w:val="24"/>
              </w:rPr>
            </w:pPr>
            <w:r w:rsidRPr="0037504C">
              <w:rPr>
                <w:rFonts w:ascii="Times New Roman" w:hAnsi="Times New Roman" w:cs="Times New Roman"/>
                <w:sz w:val="24"/>
                <w:szCs w:val="24"/>
              </w:rPr>
              <w:t>Pentru înto</w:t>
            </w:r>
            <w:r w:rsidR="0055107C">
              <w:rPr>
                <w:rFonts w:ascii="Times New Roman" w:hAnsi="Times New Roman" w:cs="Times New Roman"/>
                <w:sz w:val="24"/>
                <w:szCs w:val="24"/>
              </w:rPr>
              <w:t>c</w:t>
            </w:r>
            <w:r w:rsidRPr="0037504C">
              <w:rPr>
                <w:rFonts w:ascii="Times New Roman" w:hAnsi="Times New Roman" w:cs="Times New Roman"/>
                <w:sz w:val="24"/>
                <w:szCs w:val="24"/>
              </w:rPr>
              <w:t xml:space="preserve">mirea fișei tehnice de trasmitere-defrișare a terenurilor forestiere </w:t>
            </w:r>
            <w:r w:rsidR="0055107C">
              <w:rPr>
                <w:rFonts w:ascii="Times New Roman" w:hAnsi="Times New Roman" w:cs="Times New Roman"/>
                <w:sz w:val="24"/>
                <w:szCs w:val="24"/>
              </w:rPr>
              <w:t>în suprafață de 4,5930</w:t>
            </w:r>
            <w:r w:rsidR="0055107C" w:rsidRPr="0037504C">
              <w:rPr>
                <w:rFonts w:ascii="Times New Roman" w:hAnsi="Times New Roman" w:cs="Times New Roman"/>
                <w:sz w:val="24"/>
                <w:szCs w:val="24"/>
              </w:rPr>
              <w:t xml:space="preserve"> </w:t>
            </w:r>
            <w:r w:rsidR="004F63BF" w:rsidRPr="0037504C">
              <w:rPr>
                <w:rFonts w:ascii="Times New Roman" w:hAnsi="Times New Roman" w:cs="Times New Roman"/>
                <w:sz w:val="24"/>
                <w:szCs w:val="24"/>
              </w:rPr>
              <w:t xml:space="preserve">ha, </w:t>
            </w:r>
            <w:r w:rsidRPr="0037504C">
              <w:rPr>
                <w:rFonts w:ascii="Times New Roman" w:hAnsi="Times New Roman" w:cs="Times New Roman"/>
                <w:sz w:val="24"/>
                <w:szCs w:val="24"/>
              </w:rPr>
              <w:t xml:space="preserve">întrucât </w:t>
            </w:r>
            <w:r w:rsidR="0055107C">
              <w:rPr>
                <w:rFonts w:ascii="Times New Roman" w:hAnsi="Times New Roman" w:cs="Times New Roman"/>
                <w:sz w:val="24"/>
                <w:szCs w:val="24"/>
              </w:rPr>
              <w:t>4,5142</w:t>
            </w:r>
            <w:r w:rsidR="0055107C" w:rsidRPr="0037504C">
              <w:rPr>
                <w:rFonts w:ascii="Times New Roman" w:hAnsi="Times New Roman" w:cs="Times New Roman"/>
                <w:sz w:val="24"/>
                <w:szCs w:val="24"/>
              </w:rPr>
              <w:t xml:space="preserve"> </w:t>
            </w:r>
            <w:r w:rsidR="0055107C">
              <w:rPr>
                <w:rFonts w:ascii="Times New Roman" w:hAnsi="Times New Roman" w:cs="Times New Roman"/>
                <w:sz w:val="24"/>
                <w:szCs w:val="24"/>
              </w:rPr>
              <w:t xml:space="preserve">ha din </w:t>
            </w:r>
            <w:r w:rsidRPr="0037504C">
              <w:rPr>
                <w:rFonts w:ascii="Times New Roman" w:hAnsi="Times New Roman" w:cs="Times New Roman"/>
                <w:sz w:val="24"/>
                <w:szCs w:val="24"/>
              </w:rPr>
              <w:t>acestea nu sunt cuprinse într-un amenajament silvic, au fost întocmite de către SC Alfrid SRL fișe de descrierere parcelară a unităților amenajistice, care au fost verificate și aprobate de către Garda Forestieră Râmnicu Vâlcea.</w:t>
            </w:r>
          </w:p>
          <w:p w:rsidR="00D82A7A" w:rsidRPr="00D1265B" w:rsidRDefault="00C441AE" w:rsidP="00D1265B">
            <w:pPr>
              <w:autoSpaceDE w:val="0"/>
              <w:autoSpaceDN w:val="0"/>
              <w:adjustRightInd w:val="0"/>
              <w:spacing w:after="0" w:line="240" w:lineRule="auto"/>
              <w:ind w:firstLine="503"/>
              <w:jc w:val="both"/>
              <w:rPr>
                <w:rFonts w:ascii="Times New Roman" w:hAnsi="Times New Roman"/>
                <w:sz w:val="24"/>
                <w:szCs w:val="24"/>
              </w:rPr>
            </w:pPr>
            <w:r w:rsidRPr="00D1265B">
              <w:rPr>
                <w:rFonts w:ascii="Times New Roman" w:hAnsi="Times New Roman"/>
                <w:sz w:val="24"/>
                <w:szCs w:val="24"/>
              </w:rPr>
              <w:t>D</w:t>
            </w:r>
            <w:r w:rsidR="00A76A0B" w:rsidRPr="00D1265B">
              <w:rPr>
                <w:rFonts w:ascii="Times New Roman" w:hAnsi="Times New Roman"/>
                <w:sz w:val="24"/>
                <w:szCs w:val="24"/>
              </w:rPr>
              <w:t>iferența dintre suprafața de 31</w:t>
            </w:r>
            <w:r w:rsidR="00F72B10" w:rsidRPr="00D1265B">
              <w:rPr>
                <w:rFonts w:ascii="Times New Roman" w:hAnsi="Times New Roman"/>
                <w:sz w:val="24"/>
                <w:szCs w:val="24"/>
              </w:rPr>
              <w:t>,</w:t>
            </w:r>
            <w:r w:rsidR="00A76A0B" w:rsidRPr="00D1265B">
              <w:rPr>
                <w:rFonts w:ascii="Times New Roman" w:hAnsi="Times New Roman"/>
                <w:sz w:val="24"/>
                <w:szCs w:val="24"/>
              </w:rPr>
              <w:t>0721</w:t>
            </w:r>
            <w:r w:rsidRPr="00D1265B">
              <w:rPr>
                <w:rFonts w:ascii="Times New Roman" w:hAnsi="Times New Roman"/>
                <w:sz w:val="24"/>
                <w:szCs w:val="24"/>
              </w:rPr>
              <w:t xml:space="preserve"> ha, aflată în fondul forestier național și expropriată ca efect</w:t>
            </w:r>
            <w:r w:rsidR="00F72B10" w:rsidRPr="00D1265B">
              <w:rPr>
                <w:rFonts w:ascii="Times New Roman" w:hAnsi="Times New Roman"/>
                <w:sz w:val="24"/>
                <w:szCs w:val="24"/>
              </w:rPr>
              <w:t xml:space="preserve"> al Hotărârii Guvernului nr. 552</w:t>
            </w:r>
            <w:r w:rsidRPr="00D1265B">
              <w:rPr>
                <w:rFonts w:ascii="Times New Roman" w:hAnsi="Times New Roman"/>
                <w:sz w:val="24"/>
                <w:szCs w:val="24"/>
              </w:rPr>
              <w:t>/201</w:t>
            </w:r>
            <w:r w:rsidR="00F72B10" w:rsidRPr="00D1265B">
              <w:rPr>
                <w:rFonts w:ascii="Times New Roman" w:hAnsi="Times New Roman"/>
                <w:sz w:val="24"/>
                <w:szCs w:val="24"/>
              </w:rPr>
              <w:t>8 și suprafața de 28,5663</w:t>
            </w:r>
            <w:r w:rsidRPr="00D1265B">
              <w:rPr>
                <w:rFonts w:ascii="Times New Roman" w:hAnsi="Times New Roman"/>
                <w:sz w:val="24"/>
                <w:szCs w:val="24"/>
              </w:rPr>
              <w:t xml:space="preserve"> ha ce face obiectul </w:t>
            </w:r>
            <w:r w:rsidR="00377358" w:rsidRPr="00D1265B">
              <w:rPr>
                <w:rFonts w:ascii="Times New Roman" w:hAnsi="Times New Roman"/>
                <w:sz w:val="24"/>
                <w:szCs w:val="24"/>
              </w:rPr>
              <w:t>solicitării de</w:t>
            </w:r>
            <w:r w:rsidR="00B56C7C" w:rsidRPr="00D1265B">
              <w:rPr>
                <w:rFonts w:ascii="Times New Roman" w:hAnsi="Times New Roman"/>
                <w:sz w:val="24"/>
                <w:szCs w:val="24"/>
              </w:rPr>
              <w:t xml:space="preserve"> scoatere din circuitul silvic, </w:t>
            </w:r>
            <w:r w:rsidR="00377358" w:rsidRPr="00D1265B">
              <w:rPr>
                <w:rFonts w:ascii="Times New Roman" w:hAnsi="Times New Roman"/>
                <w:sz w:val="24"/>
                <w:szCs w:val="24"/>
              </w:rPr>
              <w:t xml:space="preserve">se regăsește pe limita perimetrului de licență al Carierei Jilț </w:t>
            </w:r>
            <w:r w:rsidR="00F72B10" w:rsidRPr="00D1265B">
              <w:rPr>
                <w:rFonts w:ascii="Times New Roman" w:hAnsi="Times New Roman"/>
                <w:sz w:val="24"/>
                <w:szCs w:val="24"/>
              </w:rPr>
              <w:t>Sud</w:t>
            </w:r>
            <w:r w:rsidR="00804AC9" w:rsidRPr="00D1265B">
              <w:rPr>
                <w:rFonts w:ascii="Times New Roman" w:hAnsi="Times New Roman"/>
                <w:sz w:val="24"/>
                <w:szCs w:val="24"/>
              </w:rPr>
              <w:t>,</w:t>
            </w:r>
            <w:r w:rsidR="008F44BF" w:rsidRPr="00D1265B">
              <w:rPr>
                <w:rFonts w:ascii="Times New Roman" w:hAnsi="Times New Roman"/>
                <w:sz w:val="24"/>
                <w:szCs w:val="24"/>
              </w:rPr>
              <w:t xml:space="preserve"> în u.a. 72 </w:t>
            </w:r>
            <w:r w:rsidR="00804AC9" w:rsidRPr="00D1265B">
              <w:rPr>
                <w:rFonts w:ascii="Times New Roman" w:hAnsi="Times New Roman"/>
                <w:sz w:val="24"/>
                <w:szCs w:val="24"/>
              </w:rPr>
              <w:t>în zona haldei interioare</w:t>
            </w:r>
            <w:r w:rsidR="00BC489C" w:rsidRPr="00D1265B">
              <w:rPr>
                <w:rFonts w:ascii="Times New Roman" w:hAnsi="Times New Roman"/>
                <w:sz w:val="24"/>
                <w:szCs w:val="24"/>
              </w:rPr>
              <w:t>. Di</w:t>
            </w:r>
            <w:r w:rsidR="00B45560" w:rsidRPr="00D1265B">
              <w:rPr>
                <w:rFonts w:ascii="Times New Roman" w:hAnsi="Times New Roman"/>
                <w:sz w:val="24"/>
                <w:szCs w:val="24"/>
              </w:rPr>
              <w:t>n acest motiv suprafața</w:t>
            </w:r>
            <w:r w:rsidR="00804AC9" w:rsidRPr="00D1265B">
              <w:rPr>
                <w:rFonts w:ascii="Times New Roman" w:hAnsi="Times New Roman"/>
                <w:sz w:val="24"/>
                <w:szCs w:val="24"/>
              </w:rPr>
              <w:t xml:space="preserve"> de 2,5058</w:t>
            </w:r>
            <w:r w:rsidR="00BC489C" w:rsidRPr="00D1265B">
              <w:rPr>
                <w:rFonts w:ascii="Times New Roman" w:hAnsi="Times New Roman"/>
                <w:sz w:val="24"/>
                <w:szCs w:val="24"/>
              </w:rPr>
              <w:t xml:space="preserve"> ha nu a fost solicitată a fi scoasă din circuitul silvic. </w:t>
            </w:r>
            <w:r w:rsidR="00175E1B" w:rsidRPr="00D1265B">
              <w:rPr>
                <w:rFonts w:ascii="Times New Roman" w:hAnsi="Times New Roman"/>
                <w:sz w:val="24"/>
                <w:szCs w:val="24"/>
              </w:rPr>
              <w:t xml:space="preserve">Tehnologia de haldare din cadrul carieriei Jilț Sud </w:t>
            </w:r>
            <w:r w:rsidR="0074493C" w:rsidRPr="00D1265B">
              <w:rPr>
                <w:rFonts w:ascii="Times New Roman" w:hAnsi="Times New Roman"/>
                <w:sz w:val="24"/>
                <w:szCs w:val="24"/>
              </w:rPr>
              <w:t>va fi stabilită de către proiecta</w:t>
            </w:r>
            <w:r w:rsidR="00B56C7C" w:rsidRPr="00D1265B">
              <w:rPr>
                <w:rFonts w:ascii="Times New Roman" w:hAnsi="Times New Roman"/>
                <w:sz w:val="24"/>
                <w:szCs w:val="24"/>
              </w:rPr>
              <w:t>ntul general prin documentația P</w:t>
            </w:r>
            <w:r w:rsidR="0074493C" w:rsidRPr="00D1265B">
              <w:rPr>
                <w:rFonts w:ascii="Times New Roman" w:hAnsi="Times New Roman"/>
                <w:sz w:val="24"/>
                <w:szCs w:val="24"/>
              </w:rPr>
              <w:t xml:space="preserve">lan de dezvoltare al carierelor Jilț Sud și Jilț Nord, ținând cont de noile condiții tehnologice ale hălzilor celor două cariere. </w:t>
            </w:r>
            <w:r w:rsidR="00DC0941" w:rsidRPr="00D1265B">
              <w:rPr>
                <w:rFonts w:ascii="Times New Roman" w:hAnsi="Times New Roman"/>
                <w:sz w:val="24"/>
                <w:szCs w:val="24"/>
              </w:rPr>
              <w:t xml:space="preserve">În funcție de soluția prezentată în </w:t>
            </w:r>
            <w:r w:rsidR="00D1265B" w:rsidRPr="00D1265B">
              <w:rPr>
                <w:rFonts w:ascii="Times New Roman" w:hAnsi="Times New Roman"/>
                <w:sz w:val="24"/>
                <w:szCs w:val="24"/>
              </w:rPr>
              <w:t>P</w:t>
            </w:r>
            <w:r w:rsidR="00DC0941" w:rsidRPr="00D1265B">
              <w:rPr>
                <w:rFonts w:ascii="Times New Roman" w:hAnsi="Times New Roman"/>
                <w:sz w:val="24"/>
                <w:szCs w:val="24"/>
              </w:rPr>
              <w:t xml:space="preserve">lanul de dezvoltare se va decide asupra scoaterii suprafeței de 2,5058 ha din fondul forestier național. </w:t>
            </w:r>
          </w:p>
        </w:tc>
      </w:tr>
      <w:tr w:rsidR="00D82A7A" w:rsidRPr="00E81280" w:rsidTr="00C23EE4">
        <w:tc>
          <w:tcPr>
            <w:tcW w:w="2683" w:type="dxa"/>
            <w:gridSpan w:val="2"/>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lastRenderedPageBreak/>
              <w:t>2. Schimbări preconizate</w:t>
            </w:r>
          </w:p>
        </w:tc>
        <w:tc>
          <w:tcPr>
            <w:tcW w:w="7877" w:type="dxa"/>
            <w:gridSpan w:val="9"/>
          </w:tcPr>
          <w:p w:rsidR="00DC1480" w:rsidRPr="00DC1480" w:rsidRDefault="00D82A7A" w:rsidP="00F23BB0">
            <w:pPr>
              <w:spacing w:after="0" w:line="240" w:lineRule="auto"/>
              <w:ind w:firstLine="361"/>
              <w:jc w:val="both"/>
              <w:rPr>
                <w:rFonts w:ascii="Times New Roman" w:hAnsi="Times New Roman" w:cs="Times New Roman"/>
                <w:sz w:val="24"/>
                <w:szCs w:val="24"/>
              </w:rPr>
            </w:pPr>
            <w:r w:rsidRPr="00DC1480">
              <w:rPr>
                <w:rFonts w:ascii="Times New Roman" w:hAnsi="Times New Roman"/>
                <w:sz w:val="24"/>
                <w:szCs w:val="24"/>
              </w:rPr>
              <w:t xml:space="preserve">Promovarea prezentului proiect de act normativ are drept scop aprobarea </w:t>
            </w:r>
            <w:r w:rsidR="00DC1480" w:rsidRPr="00DC1480">
              <w:rPr>
                <w:rFonts w:ascii="Times New Roman" w:hAnsi="Times New Roman" w:cs="Times New Roman"/>
                <w:sz w:val="24"/>
                <w:szCs w:val="24"/>
              </w:rPr>
              <w:t>scoaterii definitive din fondul forestier naţional, fără compensare, de către Societatea Complexul Energetic Oltenia SA</w:t>
            </w:r>
            <w:r w:rsidR="00A41EE5">
              <w:rPr>
                <w:rFonts w:ascii="Times New Roman" w:hAnsi="Times New Roman" w:cs="Times New Roman"/>
                <w:sz w:val="24"/>
                <w:szCs w:val="24"/>
              </w:rPr>
              <w:t xml:space="preserve"> a terenului în suprafaţă de 28,5663</w:t>
            </w:r>
            <w:r w:rsidR="00DC1480" w:rsidRPr="00DC1480">
              <w:rPr>
                <w:rFonts w:ascii="Times New Roman" w:hAnsi="Times New Roman" w:cs="Times New Roman"/>
                <w:sz w:val="24"/>
                <w:szCs w:val="24"/>
              </w:rPr>
              <w:t xml:space="preserve"> ha, în vederea realizării obiectivului </w:t>
            </w:r>
            <w:r w:rsidR="00DC1480" w:rsidRPr="00DC1480">
              <w:rPr>
                <w:rFonts w:ascii="Times New Roman" w:hAnsi="Times New Roman" w:cs="Times New Roman"/>
                <w:bCs/>
                <w:sz w:val="24"/>
                <w:szCs w:val="24"/>
              </w:rPr>
              <w:t>„</w:t>
            </w:r>
            <w:r w:rsidR="00A41EE5">
              <w:rPr>
                <w:rFonts w:ascii="Times New Roman" w:hAnsi="Times New Roman" w:cs="Times New Roman"/>
                <w:sz w:val="24"/>
                <w:szCs w:val="24"/>
              </w:rPr>
              <w:t xml:space="preserve">Lucrări pentru punerea în funcțiune a </w:t>
            </w:r>
            <w:r w:rsidR="00A41EE5">
              <w:rPr>
                <w:rFonts w:ascii="Times New Roman" w:hAnsi="Times New Roman" w:cs="Times New Roman"/>
                <w:sz w:val="24"/>
                <w:szCs w:val="24"/>
              </w:rPr>
              <w:lastRenderedPageBreak/>
              <w:t>capac</w:t>
            </w:r>
            <w:r w:rsidR="00B3469F">
              <w:rPr>
                <w:rFonts w:ascii="Times New Roman" w:hAnsi="Times New Roman" w:cs="Times New Roman"/>
                <w:sz w:val="24"/>
                <w:szCs w:val="24"/>
              </w:rPr>
              <w:t>ității finale de producție de 8.</w:t>
            </w:r>
            <w:r w:rsidR="00A41EE5">
              <w:rPr>
                <w:rFonts w:ascii="Times New Roman" w:hAnsi="Times New Roman" w:cs="Times New Roman"/>
                <w:sz w:val="24"/>
                <w:szCs w:val="24"/>
              </w:rPr>
              <w:t>5</w:t>
            </w:r>
            <w:r w:rsidR="00FB25A2">
              <w:rPr>
                <w:rFonts w:ascii="Times New Roman" w:hAnsi="Times New Roman" w:cs="Times New Roman"/>
                <w:sz w:val="24"/>
                <w:szCs w:val="24"/>
              </w:rPr>
              <w:t>00</w:t>
            </w:r>
            <w:r w:rsidR="00A41EE5">
              <w:rPr>
                <w:rFonts w:ascii="Times New Roman" w:hAnsi="Times New Roman" w:cs="Times New Roman"/>
                <w:sz w:val="24"/>
                <w:szCs w:val="24"/>
              </w:rPr>
              <w:t xml:space="preserve"> mi</w:t>
            </w:r>
            <w:r w:rsidR="00F23BB0">
              <w:rPr>
                <w:rFonts w:ascii="Times New Roman" w:hAnsi="Times New Roman" w:cs="Times New Roman"/>
                <w:sz w:val="24"/>
                <w:szCs w:val="24"/>
              </w:rPr>
              <w:t>i</w:t>
            </w:r>
            <w:r w:rsidR="00A41EE5">
              <w:rPr>
                <w:rFonts w:ascii="Times New Roman" w:hAnsi="Times New Roman" w:cs="Times New Roman"/>
                <w:sz w:val="24"/>
                <w:szCs w:val="24"/>
              </w:rPr>
              <w:t xml:space="preserve"> tone /an</w:t>
            </w:r>
            <w:r w:rsidR="00F23BB0">
              <w:rPr>
                <w:rFonts w:ascii="Times New Roman" w:hAnsi="Times New Roman" w:cs="Times New Roman"/>
                <w:sz w:val="24"/>
                <w:szCs w:val="24"/>
              </w:rPr>
              <w:t xml:space="preserve"> lignit</w:t>
            </w:r>
            <w:r w:rsidR="00B3469F">
              <w:rPr>
                <w:rFonts w:ascii="Times New Roman" w:hAnsi="Times New Roman" w:cs="Times New Roman"/>
                <w:sz w:val="24"/>
                <w:szCs w:val="24"/>
              </w:rPr>
              <w:t xml:space="preserve"> </w:t>
            </w:r>
            <w:r w:rsidR="00EA72A6">
              <w:rPr>
                <w:rFonts w:ascii="Times New Roman" w:hAnsi="Times New Roman" w:cs="Times New Roman"/>
                <w:sz w:val="24"/>
                <w:szCs w:val="24"/>
              </w:rPr>
              <w:t xml:space="preserve">la </w:t>
            </w:r>
            <w:r w:rsidR="00B3469F">
              <w:rPr>
                <w:rFonts w:ascii="Times New Roman" w:hAnsi="Times New Roman" w:cs="Times New Roman"/>
                <w:sz w:val="24"/>
                <w:szCs w:val="24"/>
              </w:rPr>
              <w:t>C</w:t>
            </w:r>
            <w:r w:rsidR="00A41EE5">
              <w:rPr>
                <w:rFonts w:ascii="Times New Roman" w:hAnsi="Times New Roman" w:cs="Times New Roman"/>
                <w:sz w:val="24"/>
                <w:szCs w:val="24"/>
              </w:rPr>
              <w:t>ariera Jilț Sud</w:t>
            </w:r>
            <w:r w:rsidR="00DC1480" w:rsidRPr="00DC1480">
              <w:rPr>
                <w:rFonts w:ascii="Times New Roman" w:hAnsi="Times New Roman" w:cs="Times New Roman"/>
                <w:sz w:val="24"/>
                <w:szCs w:val="24"/>
              </w:rPr>
              <w:t>”</w:t>
            </w:r>
            <w:r w:rsidR="00883695">
              <w:rPr>
                <w:rFonts w:ascii="Times New Roman" w:hAnsi="Times New Roman" w:cs="Times New Roman"/>
                <w:sz w:val="24"/>
                <w:szCs w:val="24"/>
              </w:rPr>
              <w:t>.</w:t>
            </w:r>
          </w:p>
          <w:p w:rsidR="00133AC9" w:rsidRDefault="00D82A7A" w:rsidP="0037504C">
            <w:pPr>
              <w:spacing w:after="0" w:line="240" w:lineRule="auto"/>
              <w:jc w:val="both"/>
              <w:rPr>
                <w:rFonts w:ascii="Times New Roman" w:hAnsi="Times New Roman"/>
                <w:sz w:val="24"/>
                <w:szCs w:val="24"/>
              </w:rPr>
            </w:pPr>
            <w:r w:rsidRPr="00AB6476">
              <w:rPr>
                <w:rFonts w:ascii="Times New Roman" w:hAnsi="Times New Roman"/>
                <w:sz w:val="24"/>
                <w:szCs w:val="24"/>
              </w:rPr>
              <w:t>Scoaterea definitivă din fondul forestier naţional a terenului se face cu defrişarea vegetaţiei forestiere</w:t>
            </w:r>
            <w:r w:rsidR="00A41EE5">
              <w:rPr>
                <w:rFonts w:ascii="Times New Roman" w:hAnsi="Times New Roman"/>
                <w:sz w:val="24"/>
                <w:szCs w:val="24"/>
              </w:rPr>
              <w:t xml:space="preserve"> pe suprafața de 28</w:t>
            </w:r>
            <w:r w:rsidR="00DC1480">
              <w:rPr>
                <w:rFonts w:ascii="Times New Roman" w:hAnsi="Times New Roman"/>
                <w:sz w:val="24"/>
                <w:szCs w:val="24"/>
              </w:rPr>
              <w:t>,</w:t>
            </w:r>
            <w:r w:rsidR="00A41EE5">
              <w:rPr>
                <w:rFonts w:ascii="Times New Roman" w:hAnsi="Times New Roman"/>
                <w:sz w:val="24"/>
                <w:szCs w:val="24"/>
              </w:rPr>
              <w:t xml:space="preserve">5663 </w:t>
            </w:r>
            <w:r w:rsidR="00DC1480">
              <w:rPr>
                <w:rFonts w:ascii="Times New Roman" w:hAnsi="Times New Roman"/>
                <w:sz w:val="24"/>
                <w:szCs w:val="24"/>
              </w:rPr>
              <w:t>ha</w:t>
            </w:r>
            <w:r w:rsidRPr="00AB6476">
              <w:rPr>
                <w:rFonts w:ascii="Times New Roman" w:hAnsi="Times New Roman"/>
                <w:sz w:val="24"/>
                <w:szCs w:val="24"/>
              </w:rPr>
              <w:t xml:space="preserve">. </w:t>
            </w:r>
          </w:p>
          <w:p w:rsidR="00133AC9" w:rsidRDefault="00133AC9" w:rsidP="0037504C">
            <w:pPr>
              <w:spacing w:after="0" w:line="240" w:lineRule="auto"/>
              <w:ind w:firstLine="361"/>
              <w:jc w:val="both"/>
              <w:rPr>
                <w:rFonts w:ascii="Times New Roman" w:hAnsi="Times New Roman"/>
                <w:sz w:val="24"/>
                <w:szCs w:val="24"/>
              </w:rPr>
            </w:pPr>
            <w:r>
              <w:rPr>
                <w:rFonts w:ascii="Times New Roman" w:hAnsi="Times New Roman"/>
                <w:sz w:val="24"/>
                <w:szCs w:val="24"/>
              </w:rPr>
              <w:t xml:space="preserve">Scoaterea definitivă a terenului din fondul forestier național se face fără compensare cu terenuri, potrivit art. 36 alin. </w:t>
            </w:r>
            <w:r w:rsidR="002143AB">
              <w:rPr>
                <w:rFonts w:ascii="Times New Roman" w:hAnsi="Times New Roman"/>
                <w:sz w:val="24"/>
                <w:szCs w:val="24"/>
              </w:rPr>
              <w:t xml:space="preserve">(1) și </w:t>
            </w:r>
            <w:r>
              <w:rPr>
                <w:rFonts w:ascii="Times New Roman" w:hAnsi="Times New Roman"/>
                <w:sz w:val="24"/>
                <w:szCs w:val="24"/>
              </w:rPr>
              <w:t>(7) din Legea nr. 46/2008,</w:t>
            </w:r>
            <w:r w:rsidR="00883695">
              <w:rPr>
                <w:rFonts w:ascii="Times New Roman" w:hAnsi="Times New Roman"/>
                <w:sz w:val="24"/>
                <w:szCs w:val="24"/>
              </w:rPr>
              <w:t xml:space="preserve"> republicată, cu modificările și completările ulterioare,</w:t>
            </w:r>
            <w:r>
              <w:rPr>
                <w:rFonts w:ascii="Times New Roman" w:hAnsi="Times New Roman"/>
                <w:sz w:val="24"/>
                <w:szCs w:val="24"/>
              </w:rPr>
              <w:t xml:space="preserve"> obiectivul </w:t>
            </w:r>
            <w:r w:rsidRPr="00DC1480">
              <w:rPr>
                <w:rFonts w:ascii="Times New Roman" w:hAnsi="Times New Roman" w:cs="Times New Roman"/>
                <w:bCs/>
                <w:sz w:val="24"/>
                <w:szCs w:val="24"/>
              </w:rPr>
              <w:t>„</w:t>
            </w:r>
            <w:r w:rsidR="00BC6561">
              <w:rPr>
                <w:rFonts w:ascii="Times New Roman" w:hAnsi="Times New Roman" w:cs="Times New Roman"/>
                <w:sz w:val="24"/>
                <w:szCs w:val="24"/>
              </w:rPr>
              <w:t>Lucrări pentru punerea în funcțiune a capacității finale de producție de 8</w:t>
            </w:r>
            <w:r w:rsidR="00F23BB0">
              <w:rPr>
                <w:rFonts w:ascii="Times New Roman" w:hAnsi="Times New Roman" w:cs="Times New Roman"/>
                <w:sz w:val="24"/>
                <w:szCs w:val="24"/>
              </w:rPr>
              <w:t>.</w:t>
            </w:r>
            <w:r w:rsidR="00BC6561">
              <w:rPr>
                <w:rFonts w:ascii="Times New Roman" w:hAnsi="Times New Roman" w:cs="Times New Roman"/>
                <w:sz w:val="24"/>
                <w:szCs w:val="24"/>
              </w:rPr>
              <w:t>5</w:t>
            </w:r>
            <w:r w:rsidR="00F23BB0">
              <w:rPr>
                <w:rFonts w:ascii="Times New Roman" w:hAnsi="Times New Roman" w:cs="Times New Roman"/>
                <w:sz w:val="24"/>
                <w:szCs w:val="24"/>
              </w:rPr>
              <w:t>00 mii</w:t>
            </w:r>
            <w:r w:rsidR="00BC6561">
              <w:rPr>
                <w:rFonts w:ascii="Times New Roman" w:hAnsi="Times New Roman" w:cs="Times New Roman"/>
                <w:sz w:val="24"/>
                <w:szCs w:val="24"/>
              </w:rPr>
              <w:t xml:space="preserve"> tone /an</w:t>
            </w:r>
            <w:r w:rsidR="00F23BB0">
              <w:rPr>
                <w:rFonts w:ascii="Times New Roman" w:hAnsi="Times New Roman" w:cs="Times New Roman"/>
                <w:sz w:val="24"/>
                <w:szCs w:val="24"/>
              </w:rPr>
              <w:t xml:space="preserve"> lignit</w:t>
            </w:r>
            <w:r w:rsidR="00EA72A6">
              <w:rPr>
                <w:rFonts w:ascii="Times New Roman" w:hAnsi="Times New Roman" w:cs="Times New Roman"/>
                <w:sz w:val="24"/>
                <w:szCs w:val="24"/>
              </w:rPr>
              <w:t xml:space="preserve"> la </w:t>
            </w:r>
            <w:r w:rsidR="00B3469F">
              <w:rPr>
                <w:rFonts w:ascii="Times New Roman" w:hAnsi="Times New Roman" w:cs="Times New Roman"/>
                <w:sz w:val="24"/>
                <w:szCs w:val="24"/>
              </w:rPr>
              <w:t>C</w:t>
            </w:r>
            <w:r w:rsidR="00BC6561">
              <w:rPr>
                <w:rFonts w:ascii="Times New Roman" w:hAnsi="Times New Roman" w:cs="Times New Roman"/>
                <w:sz w:val="24"/>
                <w:szCs w:val="24"/>
              </w:rPr>
              <w:t>ariera Jilț Sud</w:t>
            </w:r>
            <w:r w:rsidRPr="00DC1480">
              <w:rPr>
                <w:rFonts w:ascii="Times New Roman" w:hAnsi="Times New Roman" w:cs="Times New Roman"/>
                <w:sz w:val="24"/>
                <w:szCs w:val="24"/>
              </w:rPr>
              <w:t>”</w:t>
            </w:r>
            <w:r>
              <w:rPr>
                <w:rFonts w:ascii="Times New Roman" w:hAnsi="Times New Roman" w:cs="Times New Roman"/>
                <w:sz w:val="24"/>
                <w:szCs w:val="24"/>
              </w:rPr>
              <w:t xml:space="preserve">, fiind </w:t>
            </w:r>
            <w:r w:rsidR="002143AB">
              <w:rPr>
                <w:rFonts w:ascii="Times New Roman" w:hAnsi="Times New Roman" w:cs="Times New Roman"/>
                <w:sz w:val="24"/>
                <w:szCs w:val="24"/>
              </w:rPr>
              <w:t xml:space="preserve">și </w:t>
            </w:r>
            <w:r w:rsidR="00531AC7">
              <w:rPr>
                <w:rFonts w:ascii="Times New Roman" w:hAnsi="Times New Roman" w:cs="Times New Roman"/>
                <w:sz w:val="24"/>
                <w:szCs w:val="24"/>
              </w:rPr>
              <w:t xml:space="preserve">declarat </w:t>
            </w:r>
            <w:r>
              <w:rPr>
                <w:rFonts w:ascii="Times New Roman" w:hAnsi="Times New Roman" w:cs="Times New Roman"/>
                <w:sz w:val="24"/>
                <w:szCs w:val="24"/>
              </w:rPr>
              <w:t xml:space="preserve">de interes național </w:t>
            </w:r>
            <w:r w:rsidR="00531AC7">
              <w:rPr>
                <w:rFonts w:ascii="Times New Roman" w:hAnsi="Times New Roman" w:cs="Times New Roman"/>
                <w:sz w:val="24"/>
                <w:szCs w:val="24"/>
              </w:rPr>
              <w:t>ș</w:t>
            </w:r>
            <w:r>
              <w:rPr>
                <w:rFonts w:ascii="Times New Roman" w:hAnsi="Times New Roman" w:cs="Times New Roman"/>
                <w:sz w:val="24"/>
                <w:szCs w:val="24"/>
              </w:rPr>
              <w:t>i utilitate publică</w:t>
            </w:r>
            <w:r w:rsidR="00531AC7">
              <w:rPr>
                <w:rFonts w:ascii="Times New Roman" w:hAnsi="Times New Roman" w:cs="Times New Roman"/>
                <w:sz w:val="24"/>
                <w:szCs w:val="24"/>
              </w:rPr>
              <w:t>, potrivit Legii nr. 255/2010 și Hotărârii de Guvern 53/2010.</w:t>
            </w:r>
          </w:p>
          <w:p w:rsidR="00D82A7A" w:rsidRDefault="00531AC7" w:rsidP="0037504C">
            <w:pPr>
              <w:spacing w:after="0" w:line="240" w:lineRule="auto"/>
              <w:ind w:firstLine="361"/>
              <w:jc w:val="both"/>
              <w:rPr>
                <w:rFonts w:ascii="Times New Roman" w:hAnsi="Times New Roman"/>
                <w:sz w:val="24"/>
                <w:szCs w:val="24"/>
              </w:rPr>
            </w:pPr>
            <w:r>
              <w:rPr>
                <w:rFonts w:ascii="Times New Roman" w:hAnsi="Times New Roman"/>
                <w:sz w:val="24"/>
                <w:szCs w:val="24"/>
              </w:rPr>
              <w:t xml:space="preserve">Potrivit art. 38 alin. </w:t>
            </w:r>
            <w:r w:rsidRPr="00531AC7">
              <w:rPr>
                <w:rFonts w:ascii="Times New Roman" w:hAnsi="Times New Roman"/>
                <w:sz w:val="24"/>
                <w:szCs w:val="24"/>
              </w:rPr>
              <w:t>(1) </w:t>
            </w:r>
            <w:r>
              <w:rPr>
                <w:rFonts w:ascii="Times New Roman" w:hAnsi="Times New Roman"/>
                <w:sz w:val="24"/>
                <w:szCs w:val="24"/>
              </w:rPr>
              <w:t>din Legea nr. 46/2008</w:t>
            </w:r>
            <w:r w:rsidR="001E7B19">
              <w:rPr>
                <w:rFonts w:ascii="Times New Roman" w:hAnsi="Times New Roman"/>
                <w:sz w:val="24"/>
                <w:szCs w:val="24"/>
              </w:rPr>
              <w:t>,</w:t>
            </w:r>
            <w:r w:rsidR="00BC6561">
              <w:rPr>
                <w:rFonts w:ascii="Times New Roman" w:hAnsi="Times New Roman"/>
                <w:sz w:val="24"/>
                <w:szCs w:val="24"/>
              </w:rPr>
              <w:t xml:space="preserve"> </w:t>
            </w:r>
            <w:r w:rsidR="001E7B19">
              <w:rPr>
                <w:rFonts w:ascii="Times New Roman" w:hAnsi="Times New Roman"/>
                <w:sz w:val="24"/>
                <w:szCs w:val="24"/>
              </w:rPr>
              <w:t>republicată, cu modificările și completările ulterioare :</w:t>
            </w:r>
            <w:r>
              <w:rPr>
                <w:rFonts w:ascii="Times New Roman" w:hAnsi="Times New Roman"/>
                <w:sz w:val="24"/>
                <w:szCs w:val="24"/>
              </w:rPr>
              <w:t xml:space="preserve"> ”</w:t>
            </w:r>
            <w:r w:rsidRPr="001E7B19">
              <w:rPr>
                <w:rFonts w:ascii="Times New Roman" w:hAnsi="Times New Roman"/>
                <w:i/>
                <w:sz w:val="24"/>
                <w:szCs w:val="24"/>
              </w:rPr>
              <w:t>Terenurile scoase definitiv din fondul forestier național devin proprietatea beneficiarului în momentul efectuării operațiunii de predare-primire și dobândesc destinația pe care acesta a solicitat-o și care i-a fost aprobată</w:t>
            </w:r>
            <w:r w:rsidRPr="00531AC7">
              <w:rPr>
                <w:rFonts w:ascii="Times New Roman" w:hAnsi="Times New Roman"/>
                <w:sz w:val="24"/>
                <w:szCs w:val="24"/>
              </w:rPr>
              <w:t>.</w:t>
            </w:r>
            <w:r w:rsidR="001E7B19">
              <w:rPr>
                <w:rFonts w:ascii="Times New Roman" w:hAnsi="Times New Roman"/>
                <w:sz w:val="24"/>
                <w:szCs w:val="24"/>
              </w:rPr>
              <w:t>”</w:t>
            </w:r>
          </w:p>
          <w:p w:rsidR="00C00690" w:rsidRDefault="008277B1" w:rsidP="00C00690">
            <w:pPr>
              <w:spacing w:after="0" w:line="240" w:lineRule="auto"/>
              <w:ind w:firstLine="361"/>
              <w:jc w:val="both"/>
              <w:rPr>
                <w:rFonts w:ascii="Times New Roman" w:hAnsi="Times New Roman" w:cs="Times New Roman"/>
                <w:sz w:val="24"/>
                <w:szCs w:val="24"/>
              </w:rPr>
            </w:pPr>
            <w:r w:rsidRPr="005B48CE">
              <w:rPr>
                <w:rFonts w:ascii="Times New Roman" w:hAnsi="Times New Roman" w:cs="Times New Roman"/>
                <w:sz w:val="24"/>
                <w:szCs w:val="24"/>
              </w:rPr>
              <w:t xml:space="preserve">Scoaterea definitivă a terenului </w:t>
            </w:r>
            <w:r>
              <w:rPr>
                <w:rFonts w:ascii="Times New Roman" w:hAnsi="Times New Roman" w:cs="Times New Roman"/>
                <w:sz w:val="24"/>
                <w:szCs w:val="24"/>
              </w:rPr>
              <w:t xml:space="preserve">în suprafață de </w:t>
            </w:r>
            <w:r w:rsidR="00BC6561">
              <w:rPr>
                <w:rFonts w:ascii="Times New Roman" w:hAnsi="Times New Roman" w:cs="Times New Roman"/>
                <w:sz w:val="24"/>
                <w:szCs w:val="24"/>
              </w:rPr>
              <w:t>28</w:t>
            </w:r>
            <w:r>
              <w:rPr>
                <w:rFonts w:ascii="Times New Roman" w:hAnsi="Times New Roman" w:cs="Times New Roman"/>
                <w:sz w:val="24"/>
                <w:szCs w:val="24"/>
              </w:rPr>
              <w:t>,</w:t>
            </w:r>
            <w:r w:rsidR="00BC6561">
              <w:rPr>
                <w:rFonts w:ascii="Times New Roman" w:hAnsi="Times New Roman" w:cs="Times New Roman"/>
                <w:sz w:val="24"/>
                <w:szCs w:val="24"/>
              </w:rPr>
              <w:t>5663</w:t>
            </w:r>
            <w:r>
              <w:rPr>
                <w:rFonts w:ascii="Times New Roman" w:hAnsi="Times New Roman" w:cs="Times New Roman"/>
                <w:sz w:val="24"/>
                <w:szCs w:val="24"/>
              </w:rPr>
              <w:t xml:space="preserve"> ha</w:t>
            </w:r>
            <w:r w:rsidRPr="005B48CE">
              <w:rPr>
                <w:rFonts w:ascii="Times New Roman" w:hAnsi="Times New Roman" w:cs="Times New Roman"/>
                <w:sz w:val="24"/>
                <w:szCs w:val="24"/>
              </w:rPr>
              <w:t xml:space="preserve"> se face cu exceptarea de la plata obligaţiilor băneşti conform art. 14 din Legea nr. 255/2010 privind exproprierea pentru cauză de utilitate publică, necesară realizării unor obiective de interes naţional, judeţean sau local, cu modificările şi completările ulterioare.</w:t>
            </w:r>
          </w:p>
          <w:p w:rsidR="008277B1" w:rsidRDefault="008277B1" w:rsidP="00C00690">
            <w:pPr>
              <w:spacing w:after="0" w:line="240" w:lineRule="auto"/>
              <w:jc w:val="both"/>
              <w:rPr>
                <w:rFonts w:ascii="Times New Roman" w:hAnsi="Times New Roman" w:cs="Times New Roman"/>
                <w:sz w:val="24"/>
                <w:szCs w:val="24"/>
              </w:rPr>
            </w:pPr>
            <w:r w:rsidRPr="00F2260A">
              <w:rPr>
                <w:rFonts w:ascii="Times New Roman" w:hAnsi="Times New Roman" w:cs="Times New Roman"/>
                <w:sz w:val="24"/>
                <w:szCs w:val="24"/>
              </w:rPr>
              <w:t xml:space="preserve">Predarea terenului </w:t>
            </w:r>
            <w:r>
              <w:rPr>
                <w:rFonts w:ascii="Times New Roman" w:hAnsi="Times New Roman" w:cs="Times New Roman"/>
                <w:sz w:val="24"/>
                <w:szCs w:val="24"/>
              </w:rPr>
              <w:t>forestier</w:t>
            </w:r>
            <w:r w:rsidRPr="00F2260A">
              <w:rPr>
                <w:rFonts w:ascii="Times New Roman" w:hAnsi="Times New Roman" w:cs="Times New Roman"/>
                <w:sz w:val="24"/>
                <w:szCs w:val="24"/>
              </w:rPr>
              <w:t xml:space="preserve"> se va face </w:t>
            </w:r>
            <w:r>
              <w:rPr>
                <w:rFonts w:ascii="Times New Roman" w:hAnsi="Times New Roman" w:cs="Times New Roman"/>
                <w:sz w:val="24"/>
                <w:szCs w:val="24"/>
              </w:rPr>
              <w:t xml:space="preserve">numai </w:t>
            </w:r>
            <w:r w:rsidRPr="00F2260A">
              <w:rPr>
                <w:rFonts w:ascii="Times New Roman" w:hAnsi="Times New Roman" w:cs="Times New Roman"/>
                <w:sz w:val="24"/>
                <w:szCs w:val="24"/>
              </w:rPr>
              <w:t>în prezenţa reprezentantului Gărzii Forestiere Râmnicu Vâlcea</w:t>
            </w:r>
            <w:r>
              <w:rPr>
                <w:rFonts w:ascii="Times New Roman" w:hAnsi="Times New Roman" w:cs="Times New Roman"/>
                <w:sz w:val="24"/>
                <w:szCs w:val="24"/>
              </w:rPr>
              <w:t xml:space="preserve">, potrivit prevederilor art. 41 alin. (3) </w:t>
            </w:r>
            <w:r w:rsidRPr="00F2260A">
              <w:rPr>
                <w:rFonts w:ascii="Times New Roman" w:hAnsi="Times New Roman" w:cs="Times New Roman"/>
                <w:sz w:val="24"/>
                <w:szCs w:val="24"/>
              </w:rPr>
              <w:t>din Legea nr. 46/2008, republicată, cu modificările şi completările ulterioare</w:t>
            </w:r>
            <w:r>
              <w:rPr>
                <w:rFonts w:ascii="Times New Roman" w:hAnsi="Times New Roman" w:cs="Times New Roman"/>
                <w:sz w:val="24"/>
                <w:szCs w:val="24"/>
              </w:rPr>
              <w:t>.</w:t>
            </w:r>
          </w:p>
          <w:p w:rsidR="008277B1" w:rsidRDefault="008277B1" w:rsidP="00C00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Societatea</w:t>
            </w:r>
            <w:r w:rsidRPr="00F2260A">
              <w:rPr>
                <w:rFonts w:ascii="Times New Roman" w:hAnsi="Times New Roman" w:cs="Times New Roman"/>
                <w:sz w:val="24"/>
                <w:szCs w:val="24"/>
              </w:rPr>
              <w:t xml:space="preserve"> Complexul Energetic Oltenia SA </w:t>
            </w:r>
            <w:r>
              <w:rPr>
                <w:rFonts w:ascii="Times New Roman" w:hAnsi="Times New Roman" w:cs="Times New Roman"/>
                <w:sz w:val="24"/>
                <w:szCs w:val="24"/>
              </w:rPr>
              <w:t>va</w:t>
            </w:r>
            <w:r w:rsidRPr="00F2260A">
              <w:rPr>
                <w:rFonts w:ascii="Times New Roman" w:hAnsi="Times New Roman" w:cs="Times New Roman"/>
                <w:sz w:val="24"/>
                <w:szCs w:val="24"/>
              </w:rPr>
              <w:t xml:space="preserve"> opera modificările la cartea funciară intervenite ca urmare a schimbării destinaţiei terenurilor </w:t>
            </w:r>
            <w:r w:rsidR="0037504C">
              <w:rPr>
                <w:rFonts w:ascii="Times New Roman" w:hAnsi="Times New Roman" w:cs="Times New Roman"/>
                <w:sz w:val="24"/>
                <w:szCs w:val="24"/>
              </w:rPr>
              <w:t>forestiere</w:t>
            </w:r>
            <w:r w:rsidRPr="00F2260A">
              <w:rPr>
                <w:rFonts w:ascii="Times New Roman" w:hAnsi="Times New Roman" w:cs="Times New Roman"/>
                <w:sz w:val="24"/>
                <w:szCs w:val="24"/>
              </w:rPr>
              <w:t xml:space="preserve"> în baza prezentei hotărâri şi a proceselor-verbale încheiate, în condiţiile legii, potrivit prevederilor art. 37 alin. (9) din Legea nr. 46/2008</w:t>
            </w:r>
            <w:r>
              <w:rPr>
                <w:rFonts w:ascii="Times New Roman" w:hAnsi="Times New Roman" w:cs="Times New Roman"/>
                <w:sz w:val="24"/>
                <w:szCs w:val="24"/>
              </w:rPr>
              <w:t xml:space="preserve"> -Codul silvic.</w:t>
            </w:r>
          </w:p>
          <w:p w:rsidR="0009541B" w:rsidRPr="00E81280" w:rsidRDefault="0037504C" w:rsidP="00FB25A2">
            <w:pPr>
              <w:spacing w:after="0" w:line="240" w:lineRule="auto"/>
              <w:jc w:val="both"/>
              <w:rPr>
                <w:rFonts w:ascii="Times New Roman" w:hAnsi="Times New Roman"/>
                <w:sz w:val="24"/>
                <w:szCs w:val="24"/>
              </w:rPr>
            </w:pPr>
            <w:r>
              <w:rPr>
                <w:rFonts w:ascii="Times New Roman" w:hAnsi="Times New Roman" w:cs="Times New Roman"/>
                <w:sz w:val="24"/>
                <w:szCs w:val="24"/>
              </w:rPr>
              <w:t>S</w:t>
            </w:r>
            <w:r w:rsidRPr="00F2260A">
              <w:rPr>
                <w:rFonts w:ascii="Times New Roman" w:hAnsi="Times New Roman" w:cs="Times New Roman"/>
                <w:sz w:val="24"/>
                <w:szCs w:val="24"/>
              </w:rPr>
              <w:t xml:space="preserve">chimbarea destinaţiei obiectivului </w:t>
            </w:r>
            <w:r w:rsidRPr="00E5719E">
              <w:rPr>
                <w:rFonts w:ascii="Times New Roman" w:hAnsi="Times New Roman" w:cs="Times New Roman"/>
                <w:bCs/>
                <w:sz w:val="24"/>
                <w:szCs w:val="24"/>
              </w:rPr>
              <w:t>„</w:t>
            </w:r>
            <w:r w:rsidR="00414792">
              <w:rPr>
                <w:rFonts w:ascii="Times New Roman" w:hAnsi="Times New Roman" w:cs="Times New Roman"/>
                <w:sz w:val="24"/>
                <w:szCs w:val="24"/>
              </w:rPr>
              <w:t>Lucrări pentru punerea în funcțiune a capac</w:t>
            </w:r>
            <w:r w:rsidR="00F23BB0">
              <w:rPr>
                <w:rFonts w:ascii="Times New Roman" w:hAnsi="Times New Roman" w:cs="Times New Roman"/>
                <w:sz w:val="24"/>
                <w:szCs w:val="24"/>
              </w:rPr>
              <w:t>ității finale de producție de 8.</w:t>
            </w:r>
            <w:r w:rsidR="00414792">
              <w:rPr>
                <w:rFonts w:ascii="Times New Roman" w:hAnsi="Times New Roman" w:cs="Times New Roman"/>
                <w:sz w:val="24"/>
                <w:szCs w:val="24"/>
              </w:rPr>
              <w:t>5</w:t>
            </w:r>
            <w:r w:rsidR="00F23BB0">
              <w:rPr>
                <w:rFonts w:ascii="Times New Roman" w:hAnsi="Times New Roman" w:cs="Times New Roman"/>
                <w:sz w:val="24"/>
                <w:szCs w:val="24"/>
              </w:rPr>
              <w:t>00</w:t>
            </w:r>
            <w:r w:rsidR="00414792">
              <w:rPr>
                <w:rFonts w:ascii="Times New Roman" w:hAnsi="Times New Roman" w:cs="Times New Roman"/>
                <w:sz w:val="24"/>
                <w:szCs w:val="24"/>
              </w:rPr>
              <w:t xml:space="preserve"> mi</w:t>
            </w:r>
            <w:r w:rsidR="00F23BB0">
              <w:rPr>
                <w:rFonts w:ascii="Times New Roman" w:hAnsi="Times New Roman" w:cs="Times New Roman"/>
                <w:sz w:val="24"/>
                <w:szCs w:val="24"/>
              </w:rPr>
              <w:t>i</w:t>
            </w:r>
            <w:r w:rsidR="00414792">
              <w:rPr>
                <w:rFonts w:ascii="Times New Roman" w:hAnsi="Times New Roman" w:cs="Times New Roman"/>
                <w:sz w:val="24"/>
                <w:szCs w:val="24"/>
              </w:rPr>
              <w:t xml:space="preserve"> tone /an</w:t>
            </w:r>
            <w:r w:rsidR="00751DC5">
              <w:rPr>
                <w:rFonts w:ascii="Times New Roman" w:hAnsi="Times New Roman" w:cs="Times New Roman"/>
                <w:sz w:val="24"/>
                <w:szCs w:val="24"/>
              </w:rPr>
              <w:t xml:space="preserve"> </w:t>
            </w:r>
            <w:r w:rsidR="00F23BB0">
              <w:rPr>
                <w:rFonts w:ascii="Times New Roman" w:hAnsi="Times New Roman" w:cs="Times New Roman"/>
                <w:sz w:val="24"/>
                <w:szCs w:val="24"/>
              </w:rPr>
              <w:t>lignit</w:t>
            </w:r>
            <w:r w:rsidR="00B3469F">
              <w:rPr>
                <w:rFonts w:ascii="Times New Roman" w:hAnsi="Times New Roman" w:cs="Times New Roman"/>
                <w:sz w:val="24"/>
                <w:szCs w:val="24"/>
              </w:rPr>
              <w:t xml:space="preserve"> </w:t>
            </w:r>
            <w:r w:rsidR="00FB25A2">
              <w:rPr>
                <w:rFonts w:ascii="Times New Roman" w:hAnsi="Times New Roman" w:cs="Times New Roman"/>
                <w:sz w:val="24"/>
                <w:szCs w:val="24"/>
              </w:rPr>
              <w:t xml:space="preserve">la </w:t>
            </w:r>
            <w:r w:rsidR="00B3469F">
              <w:rPr>
                <w:rFonts w:ascii="Times New Roman" w:hAnsi="Times New Roman" w:cs="Times New Roman"/>
                <w:sz w:val="24"/>
                <w:szCs w:val="24"/>
              </w:rPr>
              <w:t>C</w:t>
            </w:r>
            <w:r w:rsidR="00414792">
              <w:rPr>
                <w:rFonts w:ascii="Times New Roman" w:hAnsi="Times New Roman" w:cs="Times New Roman"/>
                <w:sz w:val="24"/>
                <w:szCs w:val="24"/>
              </w:rPr>
              <w:t>ariera Jilț Sud</w:t>
            </w:r>
            <w:r w:rsidRPr="00E5719E">
              <w:rPr>
                <w:rFonts w:ascii="Times New Roman" w:hAnsi="Times New Roman" w:cs="Times New Roman"/>
                <w:sz w:val="24"/>
                <w:szCs w:val="24"/>
              </w:rPr>
              <w:t>”</w:t>
            </w:r>
            <w:r w:rsidR="00414792">
              <w:rPr>
                <w:rFonts w:ascii="Times New Roman" w:hAnsi="Times New Roman" w:cs="Times New Roman"/>
                <w:sz w:val="24"/>
                <w:szCs w:val="24"/>
              </w:rPr>
              <w:t xml:space="preserve"> </w:t>
            </w:r>
            <w:r w:rsidRPr="00F2260A">
              <w:rPr>
                <w:rFonts w:ascii="Times New Roman" w:hAnsi="Times New Roman" w:cs="Times New Roman"/>
                <w:sz w:val="24"/>
                <w:szCs w:val="24"/>
              </w:rPr>
              <w:t xml:space="preserve">mai devreme de 5 ani de la data intrării în vigoare a prezentei hotărâri, </w:t>
            </w:r>
            <w:r>
              <w:rPr>
                <w:rFonts w:ascii="Times New Roman" w:hAnsi="Times New Roman" w:cs="Times New Roman"/>
                <w:sz w:val="24"/>
                <w:szCs w:val="24"/>
              </w:rPr>
              <w:t xml:space="preserve">este interzisă </w:t>
            </w:r>
            <w:r w:rsidRPr="00F2260A">
              <w:rPr>
                <w:rFonts w:ascii="Times New Roman" w:hAnsi="Times New Roman" w:cs="Times New Roman"/>
                <w:sz w:val="24"/>
                <w:szCs w:val="24"/>
              </w:rPr>
              <w:t xml:space="preserve">potrivit </w:t>
            </w:r>
            <w:r>
              <w:rPr>
                <w:rFonts w:ascii="Times New Roman" w:hAnsi="Times New Roman" w:cs="Times New Roman"/>
                <w:sz w:val="24"/>
                <w:szCs w:val="24"/>
              </w:rPr>
              <w:t xml:space="preserve">prevederilor </w:t>
            </w:r>
            <w:r w:rsidRPr="00F2260A">
              <w:rPr>
                <w:rFonts w:ascii="Times New Roman" w:hAnsi="Times New Roman" w:cs="Times New Roman"/>
                <w:sz w:val="24"/>
                <w:szCs w:val="24"/>
              </w:rPr>
              <w:t>art. 38 alin. (3) din Legea nr. 46/2008</w:t>
            </w:r>
            <w:r w:rsidR="00761C37">
              <w:rPr>
                <w:rFonts w:ascii="Times New Roman" w:hAnsi="Times New Roman" w:cs="Times New Roman"/>
                <w:sz w:val="24"/>
                <w:szCs w:val="24"/>
              </w:rPr>
              <w:t xml:space="preserve">, </w:t>
            </w:r>
            <w:r w:rsidR="00761C37" w:rsidRPr="00F2260A">
              <w:rPr>
                <w:rFonts w:ascii="Times New Roman" w:hAnsi="Times New Roman" w:cs="Times New Roman"/>
                <w:sz w:val="24"/>
                <w:szCs w:val="24"/>
              </w:rPr>
              <w:t>republicată, cu modificările şi completările ulterioare</w:t>
            </w:r>
            <w:r w:rsidRPr="00F2260A">
              <w:rPr>
                <w:rFonts w:ascii="Times New Roman" w:hAnsi="Times New Roman" w:cs="Times New Roman"/>
                <w:sz w:val="24"/>
                <w:szCs w:val="24"/>
              </w:rPr>
              <w:t>.</w:t>
            </w:r>
          </w:p>
        </w:tc>
      </w:tr>
      <w:tr w:rsidR="00D82A7A" w:rsidRPr="00E81280" w:rsidTr="00C23EE4">
        <w:tc>
          <w:tcPr>
            <w:tcW w:w="2683" w:type="dxa"/>
            <w:gridSpan w:val="2"/>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lastRenderedPageBreak/>
              <w:t>3. Alte informaţii</w:t>
            </w:r>
          </w:p>
        </w:tc>
        <w:tc>
          <w:tcPr>
            <w:tcW w:w="7877" w:type="dxa"/>
            <w:gridSpan w:val="9"/>
          </w:tcPr>
          <w:p w:rsidR="00D82A7A" w:rsidRDefault="00FF1BA6" w:rsidP="00EF4F5C">
            <w:pPr>
              <w:spacing w:after="0" w:line="240" w:lineRule="auto"/>
              <w:ind w:firstLine="503"/>
              <w:jc w:val="both"/>
              <w:rPr>
                <w:rFonts w:ascii="Times New Roman" w:hAnsi="Times New Roman"/>
                <w:sz w:val="24"/>
                <w:szCs w:val="24"/>
              </w:rPr>
            </w:pPr>
            <w:r w:rsidRPr="003F066C">
              <w:rPr>
                <w:rFonts w:ascii="Times New Roman" w:hAnsi="Times New Roman"/>
                <w:sz w:val="24"/>
                <w:szCs w:val="24"/>
              </w:rPr>
              <w:t>O parte din b</w:t>
            </w:r>
            <w:r w:rsidR="00D82A7A" w:rsidRPr="003F066C">
              <w:rPr>
                <w:rFonts w:ascii="Times New Roman" w:hAnsi="Times New Roman"/>
                <w:sz w:val="24"/>
                <w:szCs w:val="24"/>
              </w:rPr>
              <w:t>unurile prevăzute de prez</w:t>
            </w:r>
            <w:r w:rsidR="0047258D" w:rsidRPr="003F066C">
              <w:rPr>
                <w:rFonts w:ascii="Times New Roman" w:hAnsi="Times New Roman"/>
                <w:sz w:val="24"/>
                <w:szCs w:val="24"/>
              </w:rPr>
              <w:t xml:space="preserve">entul proiect </w:t>
            </w:r>
            <w:r w:rsidRPr="003F066C">
              <w:rPr>
                <w:rFonts w:ascii="Times New Roman" w:hAnsi="Times New Roman"/>
                <w:sz w:val="24"/>
                <w:szCs w:val="24"/>
              </w:rPr>
              <w:t>sunt supuse</w:t>
            </w:r>
            <w:r w:rsidR="00B45560">
              <w:rPr>
                <w:rFonts w:ascii="Times New Roman" w:hAnsi="Times New Roman"/>
                <w:sz w:val="24"/>
                <w:szCs w:val="24"/>
              </w:rPr>
              <w:t xml:space="preserve"> </w:t>
            </w:r>
            <w:r w:rsidRPr="003F066C">
              <w:rPr>
                <w:rFonts w:ascii="Times New Roman" w:hAnsi="Times New Roman"/>
                <w:sz w:val="24"/>
                <w:szCs w:val="24"/>
              </w:rPr>
              <w:t xml:space="preserve">retrocedării - reconstituirii </w:t>
            </w:r>
            <w:r w:rsidR="00D82A7A" w:rsidRPr="003F066C">
              <w:rPr>
                <w:rFonts w:ascii="Times New Roman" w:hAnsi="Times New Roman"/>
                <w:sz w:val="24"/>
                <w:szCs w:val="24"/>
              </w:rPr>
              <w:t xml:space="preserve">dreptului de proprietate privată sau de restituire, </w:t>
            </w:r>
            <w:r w:rsidR="00DB6DA3" w:rsidRPr="003F066C">
              <w:rPr>
                <w:rFonts w:ascii="Times New Roman" w:hAnsi="Times New Roman"/>
                <w:sz w:val="24"/>
                <w:szCs w:val="24"/>
              </w:rPr>
              <w:t xml:space="preserve">urmare a unor cereri </w:t>
            </w:r>
            <w:r w:rsidR="00D82A7A" w:rsidRPr="003F066C">
              <w:rPr>
                <w:rFonts w:ascii="Times New Roman" w:hAnsi="Times New Roman"/>
                <w:sz w:val="24"/>
                <w:szCs w:val="24"/>
              </w:rPr>
              <w:t>depuse în temeiul actelor normative cu caracter special privind fondul funciar, respectiv cele care reglementează regimul juridic al imobilelor preluate abuziv de statul român în perioada 6 mart</w:t>
            </w:r>
            <w:r w:rsidR="00DB6DA3" w:rsidRPr="003F066C">
              <w:rPr>
                <w:rFonts w:ascii="Times New Roman" w:hAnsi="Times New Roman"/>
                <w:sz w:val="24"/>
                <w:szCs w:val="24"/>
              </w:rPr>
              <w:t>ie 1945 –</w:t>
            </w:r>
            <w:r w:rsidR="00DB6DA3">
              <w:rPr>
                <w:rFonts w:ascii="Times New Roman" w:hAnsi="Times New Roman"/>
                <w:sz w:val="24"/>
                <w:szCs w:val="24"/>
              </w:rPr>
              <w:t xml:space="preserve"> 22 </w:t>
            </w:r>
            <w:r w:rsidR="003F066C">
              <w:rPr>
                <w:rFonts w:ascii="Times New Roman" w:hAnsi="Times New Roman"/>
                <w:sz w:val="24"/>
                <w:szCs w:val="24"/>
              </w:rPr>
              <w:t xml:space="preserve">decembrie 1989. Bunurile imobile </w:t>
            </w:r>
            <w:r w:rsidR="00D82A7A" w:rsidRPr="00CA4DEE">
              <w:rPr>
                <w:rFonts w:ascii="Times New Roman" w:hAnsi="Times New Roman"/>
                <w:sz w:val="24"/>
                <w:szCs w:val="24"/>
              </w:rPr>
              <w:t xml:space="preserve">sunt grevate de </w:t>
            </w:r>
            <w:r w:rsidR="00DB6DA3">
              <w:rPr>
                <w:rFonts w:ascii="Times New Roman" w:hAnsi="Times New Roman"/>
                <w:sz w:val="24"/>
                <w:szCs w:val="24"/>
              </w:rPr>
              <w:t>sarcini, ca urmare a localizării acestora în perimetrul minier</w:t>
            </w:r>
            <w:r w:rsidR="00F64FED">
              <w:rPr>
                <w:rFonts w:ascii="Times New Roman" w:hAnsi="Times New Roman"/>
                <w:sz w:val="24"/>
                <w:szCs w:val="24"/>
              </w:rPr>
              <w:t xml:space="preserve"> aprobat prin l</w:t>
            </w:r>
            <w:r w:rsidR="004C3EF0">
              <w:rPr>
                <w:rFonts w:ascii="Times New Roman" w:hAnsi="Times New Roman"/>
                <w:sz w:val="24"/>
                <w:szCs w:val="24"/>
              </w:rPr>
              <w:t>icența de exploatare</w:t>
            </w:r>
            <w:r w:rsidR="00DB6DA3">
              <w:rPr>
                <w:rFonts w:ascii="Times New Roman" w:hAnsi="Times New Roman"/>
                <w:sz w:val="24"/>
                <w:szCs w:val="24"/>
              </w:rPr>
              <w:t>, dar</w:t>
            </w:r>
            <w:r w:rsidR="00D82A7A" w:rsidRPr="00CA4DEE">
              <w:rPr>
                <w:rFonts w:ascii="Times New Roman" w:hAnsi="Times New Roman"/>
                <w:sz w:val="24"/>
                <w:szCs w:val="24"/>
              </w:rPr>
              <w:t xml:space="preserve"> nu formează obiectul unor litigii.</w:t>
            </w:r>
          </w:p>
          <w:p w:rsidR="0047258D" w:rsidRDefault="0047258D" w:rsidP="00EF4F5C">
            <w:pPr>
              <w:spacing w:after="0" w:line="240" w:lineRule="auto"/>
              <w:ind w:firstLine="503"/>
              <w:jc w:val="both"/>
              <w:rPr>
                <w:rFonts w:ascii="Times New Roman" w:hAnsi="Times New Roman"/>
                <w:sz w:val="24"/>
                <w:szCs w:val="24"/>
              </w:rPr>
            </w:pPr>
            <w:r>
              <w:rPr>
                <w:rFonts w:ascii="Times New Roman" w:hAnsi="Times New Roman"/>
                <w:sz w:val="24"/>
                <w:szCs w:val="24"/>
              </w:rPr>
              <w:t>Din aceste considerente Societatea Comp</w:t>
            </w:r>
            <w:r w:rsidR="001941D8">
              <w:rPr>
                <w:rFonts w:ascii="Times New Roman" w:hAnsi="Times New Roman"/>
                <w:sz w:val="24"/>
                <w:szCs w:val="24"/>
              </w:rPr>
              <w:t xml:space="preserve">lexul Energetic Oltenia SA a avut în vedere, cuprinderea terenurilor </w:t>
            </w:r>
            <w:r w:rsidR="00EF4F5C">
              <w:rPr>
                <w:rFonts w:ascii="Times New Roman" w:hAnsi="Times New Roman"/>
                <w:sz w:val="24"/>
                <w:szCs w:val="24"/>
              </w:rPr>
              <w:t xml:space="preserve">forestiere </w:t>
            </w:r>
            <w:r w:rsidR="00414792">
              <w:rPr>
                <w:rFonts w:ascii="Times New Roman" w:hAnsi="Times New Roman"/>
                <w:sz w:val="24"/>
                <w:szCs w:val="24"/>
              </w:rPr>
              <w:t>în suprafață de 28</w:t>
            </w:r>
            <w:r w:rsidR="001941D8">
              <w:rPr>
                <w:rFonts w:ascii="Times New Roman" w:hAnsi="Times New Roman"/>
                <w:sz w:val="24"/>
                <w:szCs w:val="24"/>
              </w:rPr>
              <w:t>,</w:t>
            </w:r>
            <w:r w:rsidR="00414792">
              <w:rPr>
                <w:rFonts w:ascii="Times New Roman" w:hAnsi="Times New Roman"/>
                <w:sz w:val="24"/>
                <w:szCs w:val="24"/>
              </w:rPr>
              <w:t>5663</w:t>
            </w:r>
            <w:r w:rsidR="0044017B">
              <w:rPr>
                <w:rFonts w:ascii="Times New Roman" w:hAnsi="Times New Roman"/>
                <w:sz w:val="24"/>
                <w:szCs w:val="24"/>
              </w:rPr>
              <w:t xml:space="preserve"> ha, în Anexa nr. 2 </w:t>
            </w:r>
            <w:r w:rsidR="0044017B" w:rsidRPr="00437313">
              <w:rPr>
                <w:rFonts w:ascii="Times New Roman" w:hAnsi="Times New Roman"/>
                <w:sz w:val="24"/>
                <w:szCs w:val="24"/>
              </w:rPr>
              <w:t xml:space="preserve">a </w:t>
            </w:r>
            <w:r w:rsidR="00414792" w:rsidRPr="00437313">
              <w:rPr>
                <w:rFonts w:ascii="Times New Roman" w:hAnsi="Times New Roman"/>
                <w:sz w:val="24"/>
                <w:szCs w:val="24"/>
              </w:rPr>
              <w:t>Hotarârii Guvernului nr. 552/2018</w:t>
            </w:r>
            <w:r w:rsidR="00236FBF" w:rsidRPr="00437313">
              <w:rPr>
                <w:rFonts w:ascii="Times New Roman" w:hAnsi="Times New Roman"/>
                <w:sz w:val="24"/>
                <w:szCs w:val="24"/>
              </w:rPr>
              <w:t xml:space="preserve">, în care a fost făcută </w:t>
            </w:r>
            <w:r w:rsidR="00A91A30" w:rsidRPr="00437313">
              <w:rPr>
                <w:rFonts w:ascii="Times New Roman" w:hAnsi="Times New Roman"/>
                <w:sz w:val="24"/>
                <w:szCs w:val="24"/>
              </w:rPr>
              <w:t xml:space="preserve">și </w:t>
            </w:r>
            <w:r w:rsidR="00236FBF" w:rsidRPr="00437313">
              <w:rPr>
                <w:rFonts w:ascii="Times New Roman" w:hAnsi="Times New Roman"/>
                <w:sz w:val="24"/>
                <w:szCs w:val="24"/>
              </w:rPr>
              <w:t>mențiunea</w:t>
            </w:r>
            <w:r w:rsidR="00A91A30" w:rsidRPr="00437313">
              <w:rPr>
                <w:rFonts w:ascii="Times New Roman" w:hAnsi="Times New Roman"/>
                <w:sz w:val="24"/>
                <w:szCs w:val="24"/>
              </w:rPr>
              <w:t xml:space="preserve"> </w:t>
            </w:r>
            <w:r w:rsidR="008F194C" w:rsidRPr="00437313">
              <w:rPr>
                <w:rFonts w:ascii="Times New Roman" w:hAnsi="Times New Roman"/>
                <w:sz w:val="24"/>
                <w:szCs w:val="24"/>
              </w:rPr>
              <w:t>”rezervă primărie”</w:t>
            </w:r>
            <w:r w:rsidR="00A91A30" w:rsidRPr="00437313">
              <w:rPr>
                <w:rFonts w:ascii="Times New Roman" w:hAnsi="Times New Roman"/>
                <w:sz w:val="24"/>
                <w:szCs w:val="24"/>
              </w:rPr>
              <w:t>,</w:t>
            </w:r>
            <w:r w:rsidR="008F194C" w:rsidRPr="00437313">
              <w:rPr>
                <w:rFonts w:ascii="Times New Roman" w:hAnsi="Times New Roman"/>
                <w:sz w:val="24"/>
                <w:szCs w:val="24"/>
              </w:rPr>
              <w:t xml:space="preserve"> </w:t>
            </w:r>
            <w:r w:rsidR="00236FBF" w:rsidRPr="00437313">
              <w:rPr>
                <w:rFonts w:ascii="Times New Roman" w:hAnsi="Times New Roman"/>
                <w:sz w:val="24"/>
                <w:szCs w:val="24"/>
              </w:rPr>
              <w:t xml:space="preserve">astfel cum reiese din evidențele </w:t>
            </w:r>
            <w:r w:rsidR="00D120A8" w:rsidRPr="00437313">
              <w:rPr>
                <w:rFonts w:ascii="Times New Roman" w:hAnsi="Times New Roman"/>
                <w:sz w:val="24"/>
                <w:szCs w:val="24"/>
              </w:rPr>
              <w:t>unităților amenajistice teritoriale, numele proprietarilor/deținătorilor urmând a fi identificate ulterior, în</w:t>
            </w:r>
            <w:r w:rsidR="00D120A8">
              <w:rPr>
                <w:rFonts w:ascii="Times New Roman" w:hAnsi="Times New Roman"/>
                <w:sz w:val="24"/>
                <w:szCs w:val="24"/>
              </w:rPr>
              <w:t xml:space="preserve"> vederea completării documentațiilor necesare pentru punerea în aplicare a măsurilor de e</w:t>
            </w:r>
            <w:r w:rsidR="00195A98">
              <w:rPr>
                <w:rFonts w:ascii="Times New Roman" w:hAnsi="Times New Roman"/>
                <w:sz w:val="24"/>
                <w:szCs w:val="24"/>
              </w:rPr>
              <w:t>xpropriere, în condițiile legii, respectiv a acordării</w:t>
            </w:r>
            <w:r w:rsidR="00F96116">
              <w:rPr>
                <w:rFonts w:ascii="Times New Roman" w:hAnsi="Times New Roman"/>
                <w:sz w:val="24"/>
                <w:szCs w:val="24"/>
              </w:rPr>
              <w:t xml:space="preserve"> de despăgubiri în condițiile legii, t</w:t>
            </w:r>
            <w:r w:rsidR="00195A98">
              <w:rPr>
                <w:rFonts w:ascii="Times New Roman" w:hAnsi="Times New Roman"/>
                <w:sz w:val="24"/>
                <w:szCs w:val="24"/>
              </w:rPr>
              <w:t xml:space="preserve">erenurile forestiere solicitate </w:t>
            </w:r>
            <w:r w:rsidR="00F96116">
              <w:rPr>
                <w:rFonts w:ascii="Times New Roman" w:hAnsi="Times New Roman"/>
                <w:sz w:val="24"/>
                <w:szCs w:val="24"/>
              </w:rPr>
              <w:t xml:space="preserve">fiind </w:t>
            </w:r>
            <w:r w:rsidR="0071721A">
              <w:rPr>
                <w:rFonts w:ascii="Times New Roman" w:hAnsi="Times New Roman"/>
                <w:sz w:val="24"/>
                <w:szCs w:val="24"/>
              </w:rPr>
              <w:t xml:space="preserve">considerate </w:t>
            </w:r>
            <w:r w:rsidR="00195A98">
              <w:rPr>
                <w:rFonts w:ascii="Times New Roman" w:hAnsi="Times New Roman"/>
                <w:sz w:val="24"/>
                <w:szCs w:val="24"/>
              </w:rPr>
              <w:t xml:space="preserve">scoase din circuitul civil </w:t>
            </w:r>
            <w:r w:rsidR="00F96116">
              <w:rPr>
                <w:rFonts w:ascii="Times New Roman" w:hAnsi="Times New Roman"/>
                <w:sz w:val="24"/>
                <w:szCs w:val="24"/>
              </w:rPr>
              <w:t>ca efect al exproprierii  pentru cauză de utilitate publică în vederea realizării obiectivului „</w:t>
            </w:r>
            <w:r w:rsidR="00896A04">
              <w:rPr>
                <w:rFonts w:ascii="Times New Roman" w:hAnsi="Times New Roman" w:cs="Times New Roman"/>
                <w:sz w:val="24"/>
                <w:szCs w:val="24"/>
              </w:rPr>
              <w:t>Lucrări pentru punerea în funcțiune a capacității finale de producție de 8</w:t>
            </w:r>
            <w:r w:rsidR="008F194C">
              <w:rPr>
                <w:rFonts w:ascii="Times New Roman" w:hAnsi="Times New Roman" w:cs="Times New Roman"/>
                <w:sz w:val="24"/>
                <w:szCs w:val="24"/>
              </w:rPr>
              <w:t>.5</w:t>
            </w:r>
            <w:r w:rsidR="00FB25A2">
              <w:rPr>
                <w:rFonts w:ascii="Times New Roman" w:hAnsi="Times New Roman" w:cs="Times New Roman"/>
                <w:sz w:val="24"/>
                <w:szCs w:val="24"/>
              </w:rPr>
              <w:t>00</w:t>
            </w:r>
            <w:r w:rsidR="008F194C">
              <w:rPr>
                <w:rFonts w:ascii="Times New Roman" w:hAnsi="Times New Roman" w:cs="Times New Roman"/>
                <w:sz w:val="24"/>
                <w:szCs w:val="24"/>
              </w:rPr>
              <w:t xml:space="preserve"> mii</w:t>
            </w:r>
            <w:r w:rsidR="00896A04">
              <w:rPr>
                <w:rFonts w:ascii="Times New Roman" w:hAnsi="Times New Roman" w:cs="Times New Roman"/>
                <w:sz w:val="24"/>
                <w:szCs w:val="24"/>
              </w:rPr>
              <w:t xml:space="preserve"> tone /an</w:t>
            </w:r>
            <w:r w:rsidR="00FB25A2">
              <w:rPr>
                <w:rFonts w:ascii="Times New Roman" w:hAnsi="Times New Roman" w:cs="Times New Roman"/>
                <w:sz w:val="24"/>
                <w:szCs w:val="24"/>
              </w:rPr>
              <w:t xml:space="preserve"> </w:t>
            </w:r>
            <w:r w:rsidR="008F194C">
              <w:rPr>
                <w:rFonts w:ascii="Times New Roman" w:hAnsi="Times New Roman" w:cs="Times New Roman"/>
                <w:sz w:val="24"/>
                <w:szCs w:val="24"/>
              </w:rPr>
              <w:t>lignit</w:t>
            </w:r>
            <w:r w:rsidR="00B3469F">
              <w:rPr>
                <w:rFonts w:ascii="Times New Roman" w:hAnsi="Times New Roman" w:cs="Times New Roman"/>
                <w:sz w:val="24"/>
                <w:szCs w:val="24"/>
              </w:rPr>
              <w:t xml:space="preserve"> la C</w:t>
            </w:r>
            <w:r w:rsidR="00896A04">
              <w:rPr>
                <w:rFonts w:ascii="Times New Roman" w:hAnsi="Times New Roman" w:cs="Times New Roman"/>
                <w:sz w:val="24"/>
                <w:szCs w:val="24"/>
              </w:rPr>
              <w:t>ariera Jilț Sud</w:t>
            </w:r>
            <w:r w:rsidR="0071721A">
              <w:rPr>
                <w:rFonts w:ascii="Times New Roman" w:hAnsi="Times New Roman"/>
                <w:sz w:val="24"/>
                <w:szCs w:val="24"/>
              </w:rPr>
              <w:t>”</w:t>
            </w:r>
            <w:r w:rsidR="004F6833">
              <w:rPr>
                <w:rFonts w:ascii="Times New Roman" w:hAnsi="Times New Roman"/>
                <w:sz w:val="24"/>
                <w:szCs w:val="24"/>
              </w:rPr>
              <w:t>.</w:t>
            </w:r>
          </w:p>
          <w:p w:rsidR="004F63BF" w:rsidRDefault="00CB59D6" w:rsidP="00EF4F5C">
            <w:pPr>
              <w:spacing w:after="0" w:line="240" w:lineRule="auto"/>
              <w:ind w:firstLine="503"/>
              <w:jc w:val="both"/>
              <w:rPr>
                <w:rFonts w:ascii="Times New Roman" w:hAnsi="Times New Roman"/>
                <w:sz w:val="24"/>
                <w:szCs w:val="24"/>
              </w:rPr>
            </w:pPr>
            <w:r>
              <w:rPr>
                <w:rFonts w:ascii="Times New Roman" w:hAnsi="Times New Roman"/>
                <w:sz w:val="24"/>
                <w:szCs w:val="24"/>
              </w:rPr>
              <w:t>În Memoriul justifi</w:t>
            </w:r>
            <w:r w:rsidR="001B69CF">
              <w:rPr>
                <w:rFonts w:ascii="Times New Roman" w:hAnsi="Times New Roman"/>
                <w:sz w:val="24"/>
                <w:szCs w:val="24"/>
              </w:rPr>
              <w:t>c</w:t>
            </w:r>
            <w:r w:rsidR="00872743">
              <w:rPr>
                <w:rFonts w:ascii="Times New Roman" w:hAnsi="Times New Roman"/>
                <w:sz w:val="24"/>
                <w:szCs w:val="24"/>
              </w:rPr>
              <w:t>ativ al Direcției s</w:t>
            </w:r>
            <w:r>
              <w:rPr>
                <w:rFonts w:ascii="Times New Roman" w:hAnsi="Times New Roman"/>
                <w:sz w:val="24"/>
                <w:szCs w:val="24"/>
              </w:rPr>
              <w:t xml:space="preserve">ilvice Gorj se specifică că </w:t>
            </w:r>
            <w:r w:rsidR="00504014">
              <w:rPr>
                <w:rFonts w:ascii="Times New Roman" w:hAnsi="Times New Roman"/>
                <w:sz w:val="24"/>
                <w:szCs w:val="24"/>
              </w:rPr>
              <w:t xml:space="preserve">în </w:t>
            </w:r>
            <w:r w:rsidR="00C05122">
              <w:rPr>
                <w:rFonts w:ascii="Times New Roman" w:hAnsi="Times New Roman"/>
                <w:sz w:val="24"/>
                <w:szCs w:val="24"/>
              </w:rPr>
              <w:t xml:space="preserve">suprafețele din interiorul </w:t>
            </w:r>
            <w:r w:rsidR="00504014">
              <w:rPr>
                <w:rFonts w:ascii="Times New Roman" w:hAnsi="Times New Roman"/>
                <w:sz w:val="24"/>
                <w:szCs w:val="24"/>
              </w:rPr>
              <w:t>coridorul</w:t>
            </w:r>
            <w:r w:rsidR="00C05122">
              <w:rPr>
                <w:rFonts w:ascii="Times New Roman" w:hAnsi="Times New Roman"/>
                <w:sz w:val="24"/>
                <w:szCs w:val="24"/>
              </w:rPr>
              <w:t>ui</w:t>
            </w:r>
            <w:r w:rsidR="00504014">
              <w:rPr>
                <w:rFonts w:ascii="Times New Roman" w:hAnsi="Times New Roman"/>
                <w:sz w:val="24"/>
                <w:szCs w:val="24"/>
              </w:rPr>
              <w:t xml:space="preserve"> de expropriere, </w:t>
            </w:r>
            <w:r>
              <w:rPr>
                <w:rFonts w:ascii="Times New Roman" w:hAnsi="Times New Roman"/>
                <w:sz w:val="24"/>
                <w:szCs w:val="24"/>
              </w:rPr>
              <w:t xml:space="preserve">de la data intrării în </w:t>
            </w:r>
            <w:r>
              <w:rPr>
                <w:rFonts w:ascii="Times New Roman" w:hAnsi="Times New Roman"/>
                <w:sz w:val="24"/>
                <w:szCs w:val="24"/>
              </w:rPr>
              <w:lastRenderedPageBreak/>
              <w:t>vigoare a amenajamentului silvic, s-au efectuat puneri în pose</w:t>
            </w:r>
            <w:r w:rsidR="00C05122">
              <w:rPr>
                <w:rFonts w:ascii="Times New Roman" w:hAnsi="Times New Roman"/>
                <w:sz w:val="24"/>
                <w:szCs w:val="24"/>
              </w:rPr>
              <w:t xml:space="preserve">sie pe o suprafață de 0,5525 ha. </w:t>
            </w:r>
            <w:r w:rsidR="00504014">
              <w:rPr>
                <w:rFonts w:ascii="Times New Roman" w:hAnsi="Times New Roman"/>
                <w:sz w:val="24"/>
                <w:szCs w:val="24"/>
              </w:rPr>
              <w:t xml:space="preserve"> </w:t>
            </w:r>
            <w:r w:rsidRPr="00504014">
              <w:rPr>
                <w:rFonts w:ascii="Times New Roman" w:hAnsi="Times New Roman"/>
                <w:sz w:val="24"/>
                <w:szCs w:val="24"/>
              </w:rPr>
              <w:t xml:space="preserve">Amenajamentul silvic </w:t>
            </w:r>
            <w:r w:rsidR="00227027" w:rsidRPr="00504014">
              <w:rPr>
                <w:rFonts w:ascii="Times New Roman" w:hAnsi="Times New Roman"/>
                <w:sz w:val="24"/>
                <w:szCs w:val="24"/>
              </w:rPr>
              <w:t xml:space="preserve">al fondului forestier proprietate publică a statului, administrat de Ocolul Silvic Motru a </w:t>
            </w:r>
            <w:r w:rsidR="001B69CF" w:rsidRPr="00504014">
              <w:rPr>
                <w:rFonts w:ascii="Times New Roman" w:hAnsi="Times New Roman"/>
                <w:sz w:val="24"/>
                <w:szCs w:val="24"/>
              </w:rPr>
              <w:t xml:space="preserve">intrat în vigoare la data de </w:t>
            </w:r>
            <w:r w:rsidR="00504014" w:rsidRPr="00504014">
              <w:rPr>
                <w:rFonts w:ascii="Times New Roman" w:hAnsi="Times New Roman"/>
                <w:sz w:val="24"/>
                <w:szCs w:val="24"/>
              </w:rPr>
              <w:t xml:space="preserve">01.01.2015. </w:t>
            </w:r>
          </w:p>
          <w:p w:rsidR="00872743" w:rsidRPr="00504014" w:rsidRDefault="00872743" w:rsidP="00EF4F5C">
            <w:pPr>
              <w:spacing w:after="0" w:line="240" w:lineRule="auto"/>
              <w:ind w:firstLine="503"/>
              <w:jc w:val="both"/>
              <w:rPr>
                <w:rFonts w:ascii="Times New Roman" w:hAnsi="Times New Roman"/>
                <w:sz w:val="24"/>
                <w:szCs w:val="24"/>
              </w:rPr>
            </w:pPr>
            <w:r>
              <w:rPr>
                <w:rFonts w:ascii="Times New Roman" w:hAnsi="Times New Roman"/>
                <w:sz w:val="24"/>
                <w:szCs w:val="24"/>
              </w:rPr>
              <w:t xml:space="preserve">Direcția silvică </w:t>
            </w:r>
            <w:r w:rsidR="00886539">
              <w:rPr>
                <w:rFonts w:ascii="Times New Roman" w:hAnsi="Times New Roman"/>
                <w:sz w:val="24"/>
                <w:szCs w:val="24"/>
              </w:rPr>
              <w:t>Gorj, în M</w:t>
            </w:r>
            <w:r>
              <w:rPr>
                <w:rFonts w:ascii="Times New Roman" w:hAnsi="Times New Roman"/>
                <w:sz w:val="24"/>
                <w:szCs w:val="24"/>
              </w:rPr>
              <w:t xml:space="preserve">emoriul justificativ </w:t>
            </w:r>
            <w:r w:rsidR="00886539">
              <w:rPr>
                <w:rFonts w:ascii="Times New Roman" w:hAnsi="Times New Roman"/>
                <w:sz w:val="24"/>
                <w:szCs w:val="24"/>
              </w:rPr>
              <w:t xml:space="preserve"> precizează că terenurile din fondul forestier proprietate publică a statului</w:t>
            </w:r>
            <w:r w:rsidR="008F194C">
              <w:rPr>
                <w:rFonts w:ascii="Times New Roman" w:hAnsi="Times New Roman"/>
                <w:sz w:val="24"/>
                <w:szCs w:val="24"/>
              </w:rPr>
              <w:t>,</w:t>
            </w:r>
            <w:r w:rsidR="00886539">
              <w:rPr>
                <w:rFonts w:ascii="Times New Roman" w:hAnsi="Times New Roman"/>
                <w:sz w:val="24"/>
                <w:szCs w:val="24"/>
              </w:rPr>
              <w:t xml:space="preserve"> aflate în administrarea Regiei Naționale a </w:t>
            </w:r>
            <w:r w:rsidR="003B2848">
              <w:rPr>
                <w:rFonts w:ascii="Times New Roman" w:hAnsi="Times New Roman"/>
                <w:sz w:val="24"/>
                <w:szCs w:val="24"/>
              </w:rPr>
              <w:t xml:space="preserve">Pădurilor – Romsilva, Direcția silvică Gorj, Ocolul silvic Motru, în suparafață de 23,9733 ha, cuprinse în amenajamentul Ocolului silvic Motru, U.P. III Drăgotești, neretrocedate, solicitate pentru scoaterea </w:t>
            </w:r>
            <w:r w:rsidR="00A10ED3">
              <w:rPr>
                <w:rFonts w:ascii="Times New Roman" w:hAnsi="Times New Roman"/>
                <w:sz w:val="24"/>
                <w:szCs w:val="24"/>
              </w:rPr>
              <w:t>definitivă din fondul forestier, cu defrișare, sunt incluse în amplasamentul lucrării de utilitate publică de interes național „</w:t>
            </w:r>
            <w:r w:rsidR="00A10ED3">
              <w:rPr>
                <w:rFonts w:ascii="Times New Roman" w:hAnsi="Times New Roman" w:cs="Times New Roman"/>
                <w:sz w:val="24"/>
                <w:szCs w:val="24"/>
              </w:rPr>
              <w:t>Lucrări pentru punerea în funcțiune a capacității finale de p</w:t>
            </w:r>
            <w:r w:rsidR="008F194C">
              <w:rPr>
                <w:rFonts w:ascii="Times New Roman" w:hAnsi="Times New Roman" w:cs="Times New Roman"/>
                <w:sz w:val="24"/>
                <w:szCs w:val="24"/>
              </w:rPr>
              <w:t>roducție de 8.</w:t>
            </w:r>
            <w:r w:rsidR="00A10ED3">
              <w:rPr>
                <w:rFonts w:ascii="Times New Roman" w:hAnsi="Times New Roman" w:cs="Times New Roman"/>
                <w:sz w:val="24"/>
                <w:szCs w:val="24"/>
              </w:rPr>
              <w:t>5</w:t>
            </w:r>
            <w:r w:rsidR="008F194C">
              <w:rPr>
                <w:rFonts w:ascii="Times New Roman" w:hAnsi="Times New Roman" w:cs="Times New Roman"/>
                <w:sz w:val="24"/>
                <w:szCs w:val="24"/>
              </w:rPr>
              <w:t>00</w:t>
            </w:r>
            <w:r w:rsidR="00A10ED3">
              <w:rPr>
                <w:rFonts w:ascii="Times New Roman" w:hAnsi="Times New Roman" w:cs="Times New Roman"/>
                <w:sz w:val="24"/>
                <w:szCs w:val="24"/>
              </w:rPr>
              <w:t xml:space="preserve"> mi</w:t>
            </w:r>
            <w:r w:rsidR="008F194C">
              <w:rPr>
                <w:rFonts w:ascii="Times New Roman" w:hAnsi="Times New Roman" w:cs="Times New Roman"/>
                <w:sz w:val="24"/>
                <w:szCs w:val="24"/>
              </w:rPr>
              <w:t>i</w:t>
            </w:r>
            <w:r w:rsidR="00A10ED3">
              <w:rPr>
                <w:rFonts w:ascii="Times New Roman" w:hAnsi="Times New Roman" w:cs="Times New Roman"/>
                <w:sz w:val="24"/>
                <w:szCs w:val="24"/>
              </w:rPr>
              <w:t>. tone /an</w:t>
            </w:r>
            <w:r w:rsidR="008F194C">
              <w:rPr>
                <w:rFonts w:ascii="Times New Roman" w:hAnsi="Times New Roman" w:cs="Times New Roman"/>
                <w:sz w:val="24"/>
                <w:szCs w:val="24"/>
              </w:rPr>
              <w:t xml:space="preserve"> lignit</w:t>
            </w:r>
            <w:r w:rsidR="00B3469F">
              <w:rPr>
                <w:rFonts w:ascii="Times New Roman" w:hAnsi="Times New Roman" w:cs="Times New Roman"/>
                <w:sz w:val="24"/>
                <w:szCs w:val="24"/>
              </w:rPr>
              <w:t xml:space="preserve"> la C</w:t>
            </w:r>
            <w:r w:rsidR="00A10ED3">
              <w:rPr>
                <w:rFonts w:ascii="Times New Roman" w:hAnsi="Times New Roman" w:cs="Times New Roman"/>
                <w:sz w:val="24"/>
                <w:szCs w:val="24"/>
              </w:rPr>
              <w:t>ariera Jilț Sud”</w:t>
            </w:r>
            <w:r w:rsidR="006324A9">
              <w:rPr>
                <w:rFonts w:ascii="Times New Roman" w:hAnsi="Times New Roman" w:cs="Times New Roman"/>
                <w:sz w:val="24"/>
                <w:szCs w:val="24"/>
              </w:rPr>
              <w:t>,</w:t>
            </w:r>
            <w:r w:rsidR="00A10ED3">
              <w:rPr>
                <w:rFonts w:ascii="Times New Roman" w:hAnsi="Times New Roman" w:cs="Times New Roman"/>
                <w:sz w:val="24"/>
                <w:szCs w:val="24"/>
              </w:rPr>
              <w:t xml:space="preserve"> aprobat prin Hotărârea de Guvern nr. 552/19.07.2018. </w:t>
            </w:r>
          </w:p>
          <w:p w:rsidR="0047258D" w:rsidRDefault="004F63BF" w:rsidP="003B4E2C">
            <w:pPr>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Masa lemnoasă de pe terenul</w:t>
            </w:r>
            <w:r w:rsidR="00703266">
              <w:rPr>
                <w:rFonts w:ascii="Times New Roman" w:hAnsi="Times New Roman" w:cs="Times New Roman"/>
                <w:sz w:val="24"/>
                <w:szCs w:val="24"/>
              </w:rPr>
              <w:t xml:space="preserve"> </w:t>
            </w:r>
            <w:r w:rsidR="0009541B">
              <w:rPr>
                <w:rFonts w:ascii="Times New Roman" w:hAnsi="Times New Roman" w:cs="Times New Roman"/>
                <w:sz w:val="24"/>
                <w:szCs w:val="24"/>
              </w:rPr>
              <w:t>forestier scos defintiv din fondul forestier național</w:t>
            </w:r>
            <w:r w:rsidR="00FB25A2">
              <w:rPr>
                <w:rFonts w:ascii="Times New Roman" w:hAnsi="Times New Roman" w:cs="Times New Roman"/>
                <w:sz w:val="24"/>
                <w:szCs w:val="24"/>
              </w:rPr>
              <w:t xml:space="preserve"> </w:t>
            </w:r>
            <w:r w:rsidRPr="00C07FBE">
              <w:rPr>
                <w:rFonts w:ascii="Times New Roman" w:hAnsi="Times New Roman" w:cs="Times New Roman"/>
                <w:sz w:val="24"/>
                <w:szCs w:val="24"/>
              </w:rPr>
              <w:t>se va precompta şi se va exploata conform prevederilor legale în vigoare.</w:t>
            </w:r>
          </w:p>
          <w:p w:rsidR="0031366E" w:rsidRDefault="0031366E" w:rsidP="0031366E">
            <w:pPr>
              <w:spacing w:after="0" w:line="240" w:lineRule="auto"/>
              <w:ind w:firstLine="503"/>
              <w:jc w:val="both"/>
              <w:rPr>
                <w:rFonts w:cs="Times New Roman"/>
                <w:bCs/>
              </w:rPr>
            </w:pPr>
            <w:r w:rsidRPr="0031366E">
              <w:rPr>
                <w:rFonts w:ascii="Times New Roman" w:hAnsi="Times New Roman" w:cs="Times New Roman"/>
                <w:sz w:val="24"/>
                <w:szCs w:val="24"/>
              </w:rPr>
              <w:t xml:space="preserve">Necesitatea și oportunitatea promovării prezentului proiect de </w:t>
            </w:r>
            <w:r w:rsidR="00536929">
              <w:rPr>
                <w:rFonts w:ascii="Times New Roman" w:hAnsi="Times New Roman" w:cs="Times New Roman"/>
                <w:sz w:val="24"/>
                <w:szCs w:val="24"/>
              </w:rPr>
              <w:t>hotărâre a Guvernului</w:t>
            </w:r>
            <w:r w:rsidR="00B45560">
              <w:rPr>
                <w:rFonts w:ascii="Times New Roman" w:hAnsi="Times New Roman" w:cs="Times New Roman"/>
                <w:sz w:val="24"/>
                <w:szCs w:val="24"/>
              </w:rPr>
              <w:t xml:space="preserve"> </w:t>
            </w:r>
            <w:r w:rsidRPr="0031366E">
              <w:rPr>
                <w:rFonts w:ascii="Times New Roman" w:hAnsi="Times New Roman" w:cs="Times New Roman"/>
                <w:sz w:val="24"/>
                <w:szCs w:val="24"/>
              </w:rPr>
              <w:t>aparțin inițiatorului și Societății Complexul Energetic Oltenia S.A. Răspunderea pentru veridicitatea/exactitatea datelor din cuprinsul documentației justificative a proiectului, inclusiv cu privire la situația juridică a imobilelor aflate pe culoarul de lucru aferent lucrărilor proiectului, precum și realitatea și corectitudinea documentației tehnico-economice (piese scrise și desenate) și financiare ale proiectului (modul de calcul al obligațiilor bănești) revin Societății Complexul Energetic Oltenia SA și emitenților înscrisurilor care sunt parte integrantă a documentației justificative</w:t>
            </w:r>
            <w:r w:rsidRPr="0031366E">
              <w:rPr>
                <w:rFonts w:cs="Times New Roman"/>
                <w:bCs/>
              </w:rPr>
              <w:t>.</w:t>
            </w:r>
          </w:p>
          <w:p w:rsidR="00CC2204" w:rsidRPr="00CC2204" w:rsidRDefault="00CC2204" w:rsidP="00CC2204">
            <w:pPr>
              <w:spacing w:after="0" w:line="240" w:lineRule="auto"/>
              <w:ind w:firstLine="503"/>
              <w:jc w:val="both"/>
              <w:rPr>
                <w:rFonts w:ascii="Times New Roman" w:hAnsi="Times New Roman" w:cs="Times New Roman"/>
                <w:sz w:val="24"/>
                <w:szCs w:val="24"/>
              </w:rPr>
            </w:pPr>
            <w:r w:rsidRPr="00CC2204">
              <w:rPr>
                <w:rFonts w:ascii="Times New Roman" w:hAnsi="Times New Roman" w:cs="Times New Roman"/>
                <w:sz w:val="24"/>
                <w:szCs w:val="24"/>
              </w:rPr>
              <w:t>În cazul terenu</w:t>
            </w:r>
            <w:r>
              <w:rPr>
                <w:rFonts w:ascii="Times New Roman" w:hAnsi="Times New Roman" w:cs="Times New Roman"/>
                <w:sz w:val="24"/>
                <w:szCs w:val="24"/>
              </w:rPr>
              <w:t>lui</w:t>
            </w:r>
            <w:r w:rsidRPr="00CC2204">
              <w:rPr>
                <w:rFonts w:ascii="Times New Roman" w:hAnsi="Times New Roman" w:cs="Times New Roman"/>
                <w:sz w:val="24"/>
                <w:szCs w:val="24"/>
              </w:rPr>
              <w:t xml:space="preserve"> forestier</w:t>
            </w:r>
            <w:r w:rsidR="006324A9">
              <w:rPr>
                <w:rFonts w:ascii="Times New Roman" w:hAnsi="Times New Roman" w:cs="Times New Roman"/>
                <w:sz w:val="24"/>
                <w:szCs w:val="24"/>
              </w:rPr>
              <w:t xml:space="preserve"> în suprafață de 23,5663</w:t>
            </w:r>
            <w:r>
              <w:rPr>
                <w:rFonts w:ascii="Times New Roman" w:hAnsi="Times New Roman" w:cs="Times New Roman"/>
                <w:sz w:val="24"/>
                <w:szCs w:val="24"/>
              </w:rPr>
              <w:t xml:space="preserve"> ha,</w:t>
            </w:r>
            <w:r w:rsidR="006324A9">
              <w:rPr>
                <w:rFonts w:ascii="Times New Roman" w:hAnsi="Times New Roman" w:cs="Times New Roman"/>
                <w:sz w:val="24"/>
                <w:szCs w:val="24"/>
              </w:rPr>
              <w:t xml:space="preserve"> </w:t>
            </w:r>
            <w:r>
              <w:rPr>
                <w:rFonts w:ascii="Times New Roman" w:hAnsi="Times New Roman" w:cs="Times New Roman"/>
                <w:sz w:val="24"/>
                <w:szCs w:val="24"/>
              </w:rPr>
              <w:t xml:space="preserve">aflat în </w:t>
            </w:r>
            <w:r w:rsidRPr="00CC2204">
              <w:rPr>
                <w:rFonts w:ascii="Times New Roman" w:hAnsi="Times New Roman" w:cs="Times New Roman"/>
                <w:sz w:val="24"/>
                <w:szCs w:val="24"/>
              </w:rPr>
              <w:t>proprietate</w:t>
            </w:r>
            <w:r w:rsidR="006324A9">
              <w:rPr>
                <w:rFonts w:ascii="Times New Roman" w:hAnsi="Times New Roman" w:cs="Times New Roman"/>
                <w:sz w:val="24"/>
                <w:szCs w:val="24"/>
              </w:rPr>
              <w:t>a</w:t>
            </w:r>
            <w:r w:rsidRPr="00CC2204">
              <w:rPr>
                <w:rFonts w:ascii="Times New Roman" w:hAnsi="Times New Roman" w:cs="Times New Roman"/>
                <w:sz w:val="24"/>
                <w:szCs w:val="24"/>
              </w:rPr>
              <w:t xml:space="preserve"> publică a statului</w:t>
            </w:r>
            <w:r>
              <w:rPr>
                <w:rFonts w:ascii="Times New Roman" w:hAnsi="Times New Roman" w:cs="Times New Roman"/>
                <w:sz w:val="24"/>
                <w:szCs w:val="24"/>
              </w:rPr>
              <w:t xml:space="preserve"> și în administrarea Regiei Naționale a Pădurilor- Romsilva,</w:t>
            </w:r>
            <w:r w:rsidRPr="00CC2204">
              <w:rPr>
                <w:rFonts w:ascii="Times New Roman" w:hAnsi="Times New Roman" w:cs="Times New Roman"/>
                <w:sz w:val="24"/>
                <w:szCs w:val="24"/>
              </w:rPr>
              <w:t xml:space="preserve"> necesar realizării obiectiv</w:t>
            </w:r>
            <w:r>
              <w:rPr>
                <w:rFonts w:ascii="Times New Roman" w:hAnsi="Times New Roman" w:cs="Times New Roman"/>
                <w:sz w:val="24"/>
                <w:szCs w:val="24"/>
              </w:rPr>
              <w:t>ului</w:t>
            </w:r>
            <w:r w:rsidR="006324A9">
              <w:rPr>
                <w:rFonts w:ascii="Times New Roman" w:hAnsi="Times New Roman" w:cs="Times New Roman"/>
                <w:sz w:val="24"/>
                <w:szCs w:val="24"/>
              </w:rPr>
              <w:t xml:space="preserve"> </w:t>
            </w:r>
            <w:r>
              <w:rPr>
                <w:rFonts w:ascii="Times New Roman" w:hAnsi="Times New Roman" w:cs="Times New Roman"/>
                <w:sz w:val="24"/>
                <w:szCs w:val="24"/>
              </w:rPr>
              <w:t>prevăzut de prezenta hotărâre</w:t>
            </w:r>
            <w:r w:rsidRPr="00CC2204">
              <w:rPr>
                <w:rFonts w:ascii="Times New Roman" w:hAnsi="Times New Roman" w:cs="Times New Roman"/>
                <w:sz w:val="24"/>
                <w:szCs w:val="24"/>
              </w:rPr>
              <w:t>, transferul dreptului de administrare</w:t>
            </w:r>
            <w:r>
              <w:rPr>
                <w:rFonts w:ascii="Times New Roman" w:hAnsi="Times New Roman" w:cs="Times New Roman"/>
                <w:sz w:val="24"/>
                <w:szCs w:val="24"/>
              </w:rPr>
              <w:t xml:space="preserve"> către Ministerul Energiei</w:t>
            </w:r>
            <w:r w:rsidRPr="00CC2204">
              <w:rPr>
                <w:rFonts w:ascii="Times New Roman" w:hAnsi="Times New Roman" w:cs="Times New Roman"/>
                <w:sz w:val="24"/>
                <w:szCs w:val="24"/>
              </w:rPr>
              <w:t xml:space="preserve"> se face prin efectul legi</w:t>
            </w:r>
            <w:r>
              <w:rPr>
                <w:rFonts w:ascii="Times New Roman" w:hAnsi="Times New Roman" w:cs="Times New Roman"/>
                <w:sz w:val="24"/>
                <w:szCs w:val="24"/>
              </w:rPr>
              <w:t xml:space="preserve">i, potrivit prevederilor art. 28. </w:t>
            </w:r>
            <w:r w:rsidR="00536929">
              <w:rPr>
                <w:rFonts w:ascii="Times New Roman" w:hAnsi="Times New Roman" w:cs="Times New Roman"/>
                <w:sz w:val="24"/>
                <w:szCs w:val="24"/>
              </w:rPr>
              <w:t xml:space="preserve">alin. (5) din </w:t>
            </w:r>
            <w:r w:rsidR="00536929" w:rsidRPr="00536929">
              <w:rPr>
                <w:rFonts w:ascii="Times New Roman" w:hAnsi="Times New Roman" w:cs="Times New Roman"/>
                <w:i/>
                <w:sz w:val="24"/>
                <w:szCs w:val="24"/>
              </w:rPr>
              <w:t>Legea nr. 255/2010</w:t>
            </w:r>
            <w:r w:rsidR="006324A9">
              <w:rPr>
                <w:rFonts w:ascii="Times New Roman" w:hAnsi="Times New Roman" w:cs="Times New Roman"/>
                <w:i/>
                <w:sz w:val="24"/>
                <w:szCs w:val="24"/>
              </w:rPr>
              <w:t xml:space="preserve"> </w:t>
            </w:r>
            <w:r w:rsidR="00536929" w:rsidRPr="00536929">
              <w:rPr>
                <w:rFonts w:ascii="Times New Roman" w:hAnsi="Times New Roman" w:cs="Times New Roman"/>
                <w:i/>
                <w:sz w:val="24"/>
                <w:szCs w:val="24"/>
              </w:rPr>
              <w:t>privind exproprierea pentru cauză de utilitate publică, necesară realizării unor obiective de interes naţional, judeţean şi local</w:t>
            </w:r>
            <w:r w:rsidR="00536929" w:rsidRPr="00536929">
              <w:rPr>
                <w:rFonts w:ascii="Times New Roman" w:hAnsi="Times New Roman" w:cs="Times New Roman"/>
                <w:sz w:val="24"/>
                <w:szCs w:val="24"/>
              </w:rPr>
              <w:t>, cu modificările și completările ulterioare.</w:t>
            </w:r>
          </w:p>
          <w:p w:rsidR="0031366E" w:rsidRPr="0031366E" w:rsidRDefault="0031366E" w:rsidP="0031366E">
            <w:pPr>
              <w:spacing w:after="0" w:line="240" w:lineRule="auto"/>
              <w:ind w:firstLine="503"/>
              <w:jc w:val="both"/>
              <w:rPr>
                <w:rFonts w:ascii="Times New Roman" w:hAnsi="Times New Roman" w:cs="Times New Roman"/>
                <w:sz w:val="24"/>
                <w:szCs w:val="24"/>
              </w:rPr>
            </w:pPr>
          </w:p>
        </w:tc>
      </w:tr>
      <w:tr w:rsidR="00D82A7A" w:rsidRPr="00E81280" w:rsidTr="00C23EE4">
        <w:trPr>
          <w:trHeight w:val="493"/>
        </w:trPr>
        <w:tc>
          <w:tcPr>
            <w:tcW w:w="10560" w:type="dxa"/>
            <w:gridSpan w:val="11"/>
          </w:tcPr>
          <w:p w:rsidR="00D82A7A" w:rsidRPr="00E81280" w:rsidRDefault="00D82A7A" w:rsidP="00776F94">
            <w:pPr>
              <w:rPr>
                <w:rFonts w:ascii="Times New Roman" w:hAnsi="Times New Roman"/>
                <w:b/>
                <w:sz w:val="24"/>
                <w:szCs w:val="24"/>
              </w:rPr>
            </w:pPr>
            <w:r w:rsidRPr="00E81280">
              <w:rPr>
                <w:rFonts w:ascii="Times New Roman" w:hAnsi="Times New Roman"/>
                <w:b/>
                <w:sz w:val="24"/>
                <w:szCs w:val="24"/>
              </w:rPr>
              <w:lastRenderedPageBreak/>
              <w:t>Secţiunea a 3-a: Impactul socio-economic al proiectului de act normativ</w:t>
            </w:r>
          </w:p>
        </w:tc>
      </w:tr>
      <w:tr w:rsidR="00D82A7A" w:rsidRPr="00E81280" w:rsidTr="00C23EE4">
        <w:tc>
          <w:tcPr>
            <w:tcW w:w="2670" w:type="dxa"/>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1. Impactul macroeconomic</w:t>
            </w:r>
          </w:p>
        </w:tc>
        <w:tc>
          <w:tcPr>
            <w:tcW w:w="7890" w:type="dxa"/>
            <w:gridSpan w:val="10"/>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 xml:space="preserve">Proiectul de act normativ nu are impact la nivel macroeconomic. </w:t>
            </w:r>
          </w:p>
        </w:tc>
      </w:tr>
      <w:tr w:rsidR="00D82A7A" w:rsidRPr="00E81280" w:rsidTr="00C23EE4">
        <w:trPr>
          <w:trHeight w:val="1152"/>
        </w:trPr>
        <w:tc>
          <w:tcPr>
            <w:tcW w:w="2670" w:type="dxa"/>
          </w:tcPr>
          <w:p w:rsidR="0031366E" w:rsidRPr="00E81280" w:rsidRDefault="00D82A7A" w:rsidP="00C23EE4">
            <w:pPr>
              <w:rPr>
                <w:rFonts w:ascii="Times New Roman" w:hAnsi="Times New Roman"/>
                <w:sz w:val="24"/>
                <w:szCs w:val="24"/>
              </w:rPr>
            </w:pPr>
            <w:r w:rsidRPr="00E81280">
              <w:rPr>
                <w:rFonts w:ascii="Times New Roman" w:hAnsi="Times New Roman"/>
                <w:sz w:val="24"/>
                <w:szCs w:val="24"/>
              </w:rPr>
              <w:t>1</w:t>
            </w:r>
            <w:r w:rsidRPr="00E81280">
              <w:rPr>
                <w:rFonts w:ascii="Times New Roman" w:hAnsi="Times New Roman"/>
                <w:sz w:val="24"/>
                <w:szCs w:val="24"/>
                <w:vertAlign w:val="superscript"/>
              </w:rPr>
              <w:t>1</w:t>
            </w:r>
            <w:r>
              <w:rPr>
                <w:rFonts w:ascii="Times New Roman" w:hAnsi="Times New Roman"/>
                <w:sz w:val="24"/>
                <w:szCs w:val="24"/>
              </w:rPr>
              <w:t>.</w:t>
            </w:r>
            <w:r w:rsidRPr="00E81280">
              <w:rPr>
                <w:rFonts w:ascii="Times New Roman" w:hAnsi="Times New Roman"/>
                <w:sz w:val="24"/>
                <w:szCs w:val="24"/>
              </w:rPr>
              <w:t xml:space="preserve">Impactul asupra </w:t>
            </w:r>
            <w:r>
              <w:rPr>
                <w:rFonts w:ascii="Times New Roman" w:hAnsi="Times New Roman"/>
                <w:sz w:val="24"/>
                <w:szCs w:val="24"/>
              </w:rPr>
              <w:t xml:space="preserve">mediului </w:t>
            </w:r>
            <w:r w:rsidRPr="00E81280">
              <w:rPr>
                <w:rFonts w:ascii="Times New Roman" w:hAnsi="Times New Roman"/>
                <w:sz w:val="24"/>
                <w:szCs w:val="24"/>
              </w:rPr>
              <w:t>concurenţial şi domeniului ajutoarelor de stat</w:t>
            </w:r>
          </w:p>
        </w:tc>
        <w:tc>
          <w:tcPr>
            <w:tcW w:w="7890" w:type="dxa"/>
            <w:gridSpan w:val="10"/>
          </w:tcPr>
          <w:p w:rsidR="00D82A7A" w:rsidRPr="00E81280" w:rsidRDefault="00D82A7A" w:rsidP="00C23EE4">
            <w:pPr>
              <w:jc w:val="both"/>
              <w:rPr>
                <w:rFonts w:ascii="Times New Roman" w:hAnsi="Times New Roman"/>
                <w:sz w:val="24"/>
                <w:szCs w:val="24"/>
              </w:rPr>
            </w:pPr>
            <w:r w:rsidRPr="00AB6476">
              <w:rPr>
                <w:rFonts w:ascii="Times New Roman" w:hAnsi="Times New Roman"/>
                <w:sz w:val="24"/>
                <w:szCs w:val="24"/>
              </w:rPr>
              <w:t>Proiectul de act normativ nu se referă la acest subiect.</w:t>
            </w:r>
          </w:p>
        </w:tc>
      </w:tr>
      <w:tr w:rsidR="00D82A7A" w:rsidRPr="00E81280" w:rsidTr="00C23EE4">
        <w:trPr>
          <w:trHeight w:val="1152"/>
        </w:trPr>
        <w:tc>
          <w:tcPr>
            <w:tcW w:w="2670" w:type="dxa"/>
          </w:tcPr>
          <w:p w:rsidR="00D82A7A" w:rsidRPr="00E81280" w:rsidRDefault="00D82A7A" w:rsidP="0031366E">
            <w:pPr>
              <w:spacing w:line="240" w:lineRule="auto"/>
              <w:rPr>
                <w:rFonts w:ascii="Times New Roman" w:hAnsi="Times New Roman"/>
                <w:sz w:val="24"/>
                <w:szCs w:val="24"/>
              </w:rPr>
            </w:pPr>
            <w:r w:rsidRPr="00E81280">
              <w:rPr>
                <w:rFonts w:ascii="Times New Roman" w:hAnsi="Times New Roman"/>
                <w:sz w:val="24"/>
                <w:szCs w:val="24"/>
              </w:rPr>
              <w:t>2. Impactul asupra mediului de afaceri</w:t>
            </w:r>
          </w:p>
        </w:tc>
        <w:tc>
          <w:tcPr>
            <w:tcW w:w="7890" w:type="dxa"/>
            <w:gridSpan w:val="10"/>
          </w:tcPr>
          <w:p w:rsidR="00D82A7A" w:rsidRDefault="00DF1A6B" w:rsidP="0031366E">
            <w:pPr>
              <w:spacing w:line="240" w:lineRule="auto"/>
              <w:jc w:val="both"/>
              <w:rPr>
                <w:rFonts w:ascii="Times New Roman" w:hAnsi="Times New Roman"/>
                <w:sz w:val="24"/>
                <w:szCs w:val="24"/>
              </w:rPr>
            </w:pPr>
            <w:r w:rsidRPr="00AB6476">
              <w:rPr>
                <w:rFonts w:ascii="Times New Roman" w:hAnsi="Times New Roman"/>
                <w:sz w:val="24"/>
                <w:szCs w:val="24"/>
              </w:rPr>
              <w:t>Proiectul de act normativ nu se referă la acest subiect.</w:t>
            </w:r>
          </w:p>
        </w:tc>
      </w:tr>
      <w:tr w:rsidR="00D82A7A" w:rsidRPr="00E81280" w:rsidTr="00C23EE4">
        <w:trPr>
          <w:trHeight w:val="593"/>
        </w:trPr>
        <w:tc>
          <w:tcPr>
            <w:tcW w:w="2670" w:type="dxa"/>
          </w:tcPr>
          <w:p w:rsidR="00D82A7A" w:rsidRPr="00E81280" w:rsidRDefault="00D82A7A" w:rsidP="00C23EE4">
            <w:pPr>
              <w:rPr>
                <w:rFonts w:ascii="Times New Roman" w:hAnsi="Times New Roman"/>
                <w:sz w:val="24"/>
                <w:szCs w:val="24"/>
              </w:rPr>
            </w:pPr>
            <w:r>
              <w:rPr>
                <w:rFonts w:ascii="Times New Roman" w:hAnsi="Times New Roman"/>
                <w:sz w:val="24"/>
                <w:szCs w:val="24"/>
              </w:rPr>
              <w:t>2</w:t>
            </w:r>
            <w:r w:rsidRPr="00E81280">
              <w:rPr>
                <w:rFonts w:ascii="Times New Roman" w:hAnsi="Times New Roman"/>
                <w:sz w:val="24"/>
                <w:szCs w:val="24"/>
                <w:vertAlign w:val="superscript"/>
              </w:rPr>
              <w:t>1</w:t>
            </w:r>
            <w:r>
              <w:rPr>
                <w:rFonts w:ascii="Times New Roman" w:hAnsi="Times New Roman"/>
                <w:sz w:val="24"/>
                <w:szCs w:val="24"/>
              </w:rPr>
              <w:t>Impactul asupra sarcinilor administrative</w:t>
            </w:r>
          </w:p>
        </w:tc>
        <w:tc>
          <w:tcPr>
            <w:tcW w:w="7890" w:type="dxa"/>
            <w:gridSpan w:val="10"/>
          </w:tcPr>
          <w:p w:rsidR="00D82A7A" w:rsidRPr="00AB6476" w:rsidRDefault="00D82A7A" w:rsidP="006324A9">
            <w:pPr>
              <w:jc w:val="both"/>
              <w:rPr>
                <w:rFonts w:ascii="Times New Roman" w:hAnsi="Times New Roman"/>
                <w:sz w:val="24"/>
                <w:szCs w:val="24"/>
              </w:rPr>
            </w:pPr>
            <w:r w:rsidRPr="00AB6476">
              <w:rPr>
                <w:rFonts w:ascii="Times New Roman" w:hAnsi="Times New Roman"/>
                <w:sz w:val="24"/>
                <w:szCs w:val="24"/>
              </w:rPr>
              <w:t>Proiectul de act normativ nu se referă la acest subiect.</w:t>
            </w:r>
          </w:p>
        </w:tc>
      </w:tr>
      <w:tr w:rsidR="00D82A7A" w:rsidRPr="00E81280" w:rsidTr="00C23EE4">
        <w:tc>
          <w:tcPr>
            <w:tcW w:w="2670" w:type="dxa"/>
          </w:tcPr>
          <w:p w:rsidR="00D82A7A" w:rsidRPr="00FF2C52" w:rsidRDefault="00D82A7A" w:rsidP="00C23EE4">
            <w:pPr>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vertAlign w:val="superscript"/>
              </w:rPr>
              <w:t>2</w:t>
            </w:r>
            <w:r>
              <w:rPr>
                <w:rFonts w:ascii="Times New Roman" w:hAnsi="Times New Roman"/>
                <w:sz w:val="24"/>
                <w:szCs w:val="24"/>
              </w:rPr>
              <w:t xml:space="preserve"> Impactul asupra întreprinderilor mici şi mijlocii</w:t>
            </w:r>
          </w:p>
        </w:tc>
        <w:tc>
          <w:tcPr>
            <w:tcW w:w="7890" w:type="dxa"/>
            <w:gridSpan w:val="10"/>
          </w:tcPr>
          <w:p w:rsidR="00D82A7A" w:rsidRPr="00E81280" w:rsidRDefault="00D82A7A" w:rsidP="00DF1A6B">
            <w:pPr>
              <w:jc w:val="both"/>
              <w:rPr>
                <w:rFonts w:ascii="Times New Roman" w:hAnsi="Times New Roman"/>
                <w:sz w:val="24"/>
                <w:szCs w:val="24"/>
                <w:highlight w:val="yellow"/>
                <w:u w:val="single"/>
              </w:rPr>
            </w:pPr>
            <w:r w:rsidRPr="00AB6476">
              <w:rPr>
                <w:rFonts w:ascii="Times New Roman" w:hAnsi="Times New Roman"/>
                <w:sz w:val="24"/>
                <w:szCs w:val="24"/>
              </w:rPr>
              <w:t>Proiectul de act normativ nu se referă la acest subiect.</w:t>
            </w:r>
          </w:p>
        </w:tc>
      </w:tr>
      <w:tr w:rsidR="00D82A7A" w:rsidRPr="00E81280" w:rsidTr="00C23EE4">
        <w:tc>
          <w:tcPr>
            <w:tcW w:w="2670" w:type="dxa"/>
          </w:tcPr>
          <w:p w:rsidR="00D82A7A" w:rsidRPr="00E81280" w:rsidRDefault="00D82A7A" w:rsidP="00C23EE4">
            <w:pPr>
              <w:spacing w:line="360" w:lineRule="auto"/>
              <w:rPr>
                <w:rFonts w:ascii="Times New Roman" w:hAnsi="Times New Roman"/>
                <w:sz w:val="24"/>
                <w:szCs w:val="24"/>
              </w:rPr>
            </w:pPr>
            <w:r w:rsidRPr="00E81280">
              <w:rPr>
                <w:rFonts w:ascii="Times New Roman" w:hAnsi="Times New Roman"/>
                <w:sz w:val="24"/>
                <w:szCs w:val="24"/>
              </w:rPr>
              <w:t>3. Impactul social</w:t>
            </w:r>
          </w:p>
        </w:tc>
        <w:tc>
          <w:tcPr>
            <w:tcW w:w="7890" w:type="dxa"/>
            <w:gridSpan w:val="10"/>
          </w:tcPr>
          <w:p w:rsidR="00DF1A6B" w:rsidRPr="00E81280" w:rsidRDefault="00DF1A6B" w:rsidP="00DF1A6B">
            <w:pPr>
              <w:jc w:val="both"/>
              <w:rPr>
                <w:rFonts w:ascii="Times New Roman" w:hAnsi="Times New Roman"/>
                <w:bCs/>
                <w:sz w:val="24"/>
                <w:szCs w:val="24"/>
              </w:rPr>
            </w:pPr>
            <w:r w:rsidRPr="00AB6476">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bCs/>
                <w:sz w:val="24"/>
                <w:szCs w:val="24"/>
                <w:highlight w:val="yellow"/>
              </w:rPr>
            </w:pPr>
          </w:p>
        </w:tc>
      </w:tr>
      <w:tr w:rsidR="00D82A7A" w:rsidRPr="00E81280" w:rsidTr="00C23EE4">
        <w:tc>
          <w:tcPr>
            <w:tcW w:w="2670" w:type="dxa"/>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 xml:space="preserve">4. Impactul asupra mediului </w:t>
            </w:r>
          </w:p>
        </w:tc>
        <w:tc>
          <w:tcPr>
            <w:tcW w:w="7890" w:type="dxa"/>
            <w:gridSpan w:val="10"/>
          </w:tcPr>
          <w:p w:rsidR="007F7B89" w:rsidRPr="00F336ED" w:rsidRDefault="00D82A7A" w:rsidP="007F7B89">
            <w:pPr>
              <w:spacing w:after="0" w:line="240" w:lineRule="auto"/>
              <w:jc w:val="both"/>
              <w:rPr>
                <w:rFonts w:ascii="Times New Roman" w:hAnsi="Times New Roman"/>
                <w:sz w:val="24"/>
                <w:szCs w:val="24"/>
              </w:rPr>
            </w:pPr>
            <w:r w:rsidRPr="00F336ED">
              <w:rPr>
                <w:rFonts w:ascii="Times New Roman" w:hAnsi="Times New Roman"/>
                <w:sz w:val="24"/>
                <w:szCs w:val="24"/>
              </w:rPr>
              <w:t xml:space="preserve"> Evaluarea impactului asupra mediului se realizează de către autoritatea competentă în domeniu.</w:t>
            </w:r>
          </w:p>
          <w:p w:rsidR="00D82A7A" w:rsidRPr="00E81280" w:rsidRDefault="008D0902" w:rsidP="00184865">
            <w:pPr>
              <w:spacing w:after="0" w:line="240" w:lineRule="auto"/>
              <w:ind w:firstLine="232"/>
              <w:jc w:val="both"/>
              <w:rPr>
                <w:rFonts w:ascii="Times New Roman" w:hAnsi="Times New Roman"/>
                <w:sz w:val="24"/>
                <w:szCs w:val="24"/>
                <w:highlight w:val="yellow"/>
              </w:rPr>
            </w:pPr>
            <w:r w:rsidRPr="00F336ED">
              <w:rPr>
                <w:rFonts w:ascii="Times New Roman" w:hAnsi="Times New Roman"/>
                <w:sz w:val="24"/>
                <w:szCs w:val="24"/>
              </w:rPr>
              <w:t>Agenția pentru Protecția Mediului Gor</w:t>
            </w:r>
            <w:r w:rsidR="00184865">
              <w:rPr>
                <w:rFonts w:ascii="Times New Roman" w:hAnsi="Times New Roman"/>
                <w:sz w:val="24"/>
                <w:szCs w:val="24"/>
              </w:rPr>
              <w:t>j a emis Acordul de mediu nr. 12/09.12</w:t>
            </w:r>
            <w:r w:rsidRPr="00F336ED">
              <w:rPr>
                <w:rFonts w:ascii="Times New Roman" w:hAnsi="Times New Roman"/>
                <w:sz w:val="24"/>
                <w:szCs w:val="24"/>
              </w:rPr>
              <w:t>.2016</w:t>
            </w:r>
            <w:r w:rsidR="007F7B89" w:rsidRPr="00F336ED">
              <w:rPr>
                <w:rFonts w:ascii="Times New Roman" w:hAnsi="Times New Roman"/>
                <w:sz w:val="24"/>
                <w:szCs w:val="24"/>
              </w:rPr>
              <w:t xml:space="preserve"> și </w:t>
            </w:r>
            <w:r w:rsidR="00184865">
              <w:rPr>
                <w:rFonts w:ascii="Times New Roman" w:hAnsi="Times New Roman"/>
                <w:sz w:val="24"/>
                <w:szCs w:val="24"/>
              </w:rPr>
              <w:t>Anexa nr. 1 din 05</w:t>
            </w:r>
            <w:r w:rsidRPr="00F336ED">
              <w:rPr>
                <w:rFonts w:ascii="Times New Roman" w:hAnsi="Times New Roman"/>
                <w:sz w:val="24"/>
                <w:szCs w:val="24"/>
              </w:rPr>
              <w:t>.0</w:t>
            </w:r>
            <w:r w:rsidR="00184865">
              <w:rPr>
                <w:rFonts w:ascii="Times New Roman" w:hAnsi="Times New Roman"/>
                <w:sz w:val="24"/>
                <w:szCs w:val="24"/>
              </w:rPr>
              <w:t>2</w:t>
            </w:r>
            <w:r w:rsidRPr="00F336ED">
              <w:rPr>
                <w:rFonts w:ascii="Times New Roman" w:hAnsi="Times New Roman"/>
                <w:sz w:val="24"/>
                <w:szCs w:val="24"/>
              </w:rPr>
              <w:t>.201</w:t>
            </w:r>
            <w:r w:rsidR="00184865">
              <w:rPr>
                <w:rFonts w:ascii="Times New Roman" w:hAnsi="Times New Roman"/>
                <w:sz w:val="24"/>
                <w:szCs w:val="24"/>
              </w:rPr>
              <w:t>9 la Acordul de mediu nr. 12</w:t>
            </w:r>
            <w:r w:rsidRPr="00F336ED">
              <w:rPr>
                <w:rFonts w:ascii="Times New Roman" w:hAnsi="Times New Roman"/>
                <w:sz w:val="24"/>
                <w:szCs w:val="24"/>
              </w:rPr>
              <w:t>/09.</w:t>
            </w:r>
            <w:r w:rsidR="00184865">
              <w:rPr>
                <w:rFonts w:ascii="Times New Roman" w:hAnsi="Times New Roman"/>
                <w:sz w:val="24"/>
                <w:szCs w:val="24"/>
              </w:rPr>
              <w:t>12</w:t>
            </w:r>
            <w:r w:rsidRPr="00F336ED">
              <w:rPr>
                <w:rFonts w:ascii="Times New Roman" w:hAnsi="Times New Roman"/>
                <w:sz w:val="24"/>
                <w:szCs w:val="24"/>
              </w:rPr>
              <w:t>.2016</w:t>
            </w:r>
            <w:r w:rsidR="007F7B89" w:rsidRPr="00F336ED">
              <w:rPr>
                <w:rFonts w:ascii="Times New Roman" w:hAnsi="Times New Roman"/>
                <w:sz w:val="24"/>
                <w:szCs w:val="24"/>
              </w:rPr>
              <w:t>.</w:t>
            </w:r>
            <w:r w:rsidR="00184865">
              <w:rPr>
                <w:rFonts w:ascii="Times New Roman" w:hAnsi="Times New Roman"/>
                <w:sz w:val="24"/>
                <w:szCs w:val="24"/>
              </w:rPr>
              <w:t xml:space="preserve"> </w:t>
            </w:r>
          </w:p>
        </w:tc>
      </w:tr>
      <w:tr w:rsidR="00D82A7A" w:rsidRPr="00E81280" w:rsidTr="00C23EE4">
        <w:tc>
          <w:tcPr>
            <w:tcW w:w="2670" w:type="dxa"/>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5. Alte informaţii</w:t>
            </w:r>
          </w:p>
        </w:tc>
        <w:tc>
          <w:tcPr>
            <w:tcW w:w="7890" w:type="dxa"/>
            <w:gridSpan w:val="10"/>
          </w:tcPr>
          <w:p w:rsidR="00D82A7A" w:rsidRPr="00E81280" w:rsidRDefault="00D82A7A" w:rsidP="007F7B89">
            <w:pPr>
              <w:jc w:val="both"/>
              <w:rPr>
                <w:rFonts w:ascii="Times New Roman" w:hAnsi="Times New Roman"/>
                <w:sz w:val="24"/>
                <w:szCs w:val="24"/>
              </w:rPr>
            </w:pPr>
          </w:p>
        </w:tc>
      </w:tr>
      <w:tr w:rsidR="00D82A7A" w:rsidRPr="00E81280" w:rsidTr="00C23EE4">
        <w:tc>
          <w:tcPr>
            <w:tcW w:w="10560" w:type="dxa"/>
            <w:gridSpan w:val="11"/>
          </w:tcPr>
          <w:p w:rsidR="00D82A7A" w:rsidRDefault="00D82A7A" w:rsidP="005943CF">
            <w:pPr>
              <w:jc w:val="center"/>
              <w:rPr>
                <w:rFonts w:ascii="Times New Roman" w:hAnsi="Times New Roman"/>
                <w:b/>
                <w:sz w:val="24"/>
                <w:szCs w:val="24"/>
              </w:rPr>
            </w:pPr>
            <w:r w:rsidRPr="00E81280">
              <w:rPr>
                <w:rFonts w:ascii="Times New Roman" w:hAnsi="Times New Roman"/>
                <w:b/>
                <w:sz w:val="24"/>
                <w:szCs w:val="24"/>
              </w:rPr>
              <w:t>Secţiunea a 4-a: Impactul financiar asupra bugetului general consolidat, atât pe termen scurt, pentru anul curent, cât şi pe termen lung (pe 5 ani)</w:t>
            </w:r>
          </w:p>
          <w:p w:rsidR="00D82A7A" w:rsidRPr="006672EB" w:rsidRDefault="00D82A7A" w:rsidP="0031366E">
            <w:pPr>
              <w:jc w:val="center"/>
              <w:rPr>
                <w:rFonts w:ascii="Times New Roman" w:hAnsi="Times New Roman"/>
                <w:sz w:val="24"/>
                <w:szCs w:val="24"/>
              </w:rPr>
            </w:pPr>
            <w:r w:rsidRPr="006672EB">
              <w:rPr>
                <w:rFonts w:ascii="Times New Roman" w:hAnsi="Times New Roman"/>
                <w:sz w:val="24"/>
                <w:szCs w:val="24"/>
              </w:rPr>
              <w:t xml:space="preserve">Proiectul de act normativ nu are impact asupra bugetului </w:t>
            </w:r>
            <w:r>
              <w:rPr>
                <w:rFonts w:ascii="Times New Roman" w:hAnsi="Times New Roman"/>
                <w:sz w:val="24"/>
                <w:szCs w:val="24"/>
              </w:rPr>
              <w:t xml:space="preserve">general </w:t>
            </w:r>
            <w:r w:rsidRPr="006672EB">
              <w:rPr>
                <w:rFonts w:ascii="Times New Roman" w:hAnsi="Times New Roman"/>
                <w:sz w:val="24"/>
                <w:szCs w:val="24"/>
              </w:rPr>
              <w:t>consolidat</w:t>
            </w:r>
          </w:p>
        </w:tc>
      </w:tr>
      <w:tr w:rsidR="00D82A7A" w:rsidRPr="00E81280" w:rsidTr="00C23EE4">
        <w:tc>
          <w:tcPr>
            <w:tcW w:w="10560" w:type="dxa"/>
            <w:gridSpan w:val="11"/>
          </w:tcPr>
          <w:p w:rsidR="00D82A7A" w:rsidRPr="00E81280" w:rsidRDefault="00D82A7A" w:rsidP="00C23EE4">
            <w:pPr>
              <w:spacing w:line="360" w:lineRule="auto"/>
              <w:jc w:val="right"/>
              <w:rPr>
                <w:rFonts w:ascii="Times New Roman" w:hAnsi="Times New Roman"/>
                <w:sz w:val="24"/>
                <w:szCs w:val="24"/>
              </w:rPr>
            </w:pPr>
            <w:r w:rsidRPr="00E81280">
              <w:rPr>
                <w:rFonts w:ascii="Times New Roman" w:hAnsi="Times New Roman"/>
                <w:sz w:val="24"/>
                <w:szCs w:val="24"/>
              </w:rPr>
              <w:t>- mii lei -</w:t>
            </w:r>
          </w:p>
        </w:tc>
      </w:tr>
      <w:tr w:rsidR="00D82A7A" w:rsidRPr="00E81280" w:rsidTr="00C23EE4">
        <w:trPr>
          <w:trHeight w:val="564"/>
        </w:trPr>
        <w:tc>
          <w:tcPr>
            <w:tcW w:w="4478" w:type="dxa"/>
            <w:gridSpan w:val="3"/>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Indicatori</w:t>
            </w:r>
          </w:p>
        </w:tc>
        <w:tc>
          <w:tcPr>
            <w:tcW w:w="900" w:type="dxa"/>
            <w:gridSpan w:val="2"/>
          </w:tcPr>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Anul</w:t>
            </w:r>
          </w:p>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curent</w:t>
            </w:r>
          </w:p>
        </w:tc>
        <w:tc>
          <w:tcPr>
            <w:tcW w:w="4042" w:type="dxa"/>
            <w:gridSpan w:val="5"/>
          </w:tcPr>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Următorii</w:t>
            </w:r>
          </w:p>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4 ani</w:t>
            </w:r>
          </w:p>
        </w:tc>
        <w:tc>
          <w:tcPr>
            <w:tcW w:w="1140" w:type="dxa"/>
          </w:tcPr>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Media</w:t>
            </w:r>
          </w:p>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pe 5 ani</w:t>
            </w:r>
          </w:p>
        </w:tc>
      </w:tr>
      <w:tr w:rsidR="00D82A7A" w:rsidRPr="00E81280" w:rsidTr="00C23EE4">
        <w:trPr>
          <w:trHeight w:val="170"/>
        </w:trPr>
        <w:tc>
          <w:tcPr>
            <w:tcW w:w="4478" w:type="dxa"/>
            <w:gridSpan w:val="3"/>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1</w:t>
            </w:r>
          </w:p>
        </w:tc>
        <w:tc>
          <w:tcPr>
            <w:tcW w:w="900" w:type="dxa"/>
            <w:gridSpan w:val="2"/>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2</w:t>
            </w:r>
          </w:p>
        </w:tc>
        <w:tc>
          <w:tcPr>
            <w:tcW w:w="1072"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3</w:t>
            </w:r>
          </w:p>
        </w:tc>
        <w:tc>
          <w:tcPr>
            <w:tcW w:w="990" w:type="dxa"/>
            <w:gridSpan w:val="2"/>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4</w:t>
            </w:r>
          </w:p>
        </w:tc>
        <w:tc>
          <w:tcPr>
            <w:tcW w:w="990"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5</w:t>
            </w:r>
          </w:p>
        </w:tc>
        <w:tc>
          <w:tcPr>
            <w:tcW w:w="990"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6</w:t>
            </w:r>
          </w:p>
        </w:tc>
        <w:tc>
          <w:tcPr>
            <w:tcW w:w="1140"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7</w:t>
            </w:r>
          </w:p>
        </w:tc>
      </w:tr>
      <w:tr w:rsidR="00D82A7A" w:rsidRPr="00E81280" w:rsidTr="00C23EE4">
        <w:tc>
          <w:tcPr>
            <w:tcW w:w="4478" w:type="dxa"/>
            <w:gridSpan w:val="3"/>
          </w:tcPr>
          <w:p w:rsidR="00D82A7A" w:rsidRPr="00E81280" w:rsidRDefault="00D82A7A" w:rsidP="00C23EE4">
            <w:pPr>
              <w:spacing w:line="360" w:lineRule="auto"/>
              <w:jc w:val="center"/>
              <w:rPr>
                <w:rFonts w:ascii="Times New Roman" w:hAnsi="Times New Roman"/>
                <w:sz w:val="24"/>
                <w:szCs w:val="24"/>
              </w:rPr>
            </w:pPr>
          </w:p>
        </w:tc>
        <w:tc>
          <w:tcPr>
            <w:tcW w:w="900" w:type="dxa"/>
            <w:gridSpan w:val="2"/>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201</w:t>
            </w:r>
            <w:r w:rsidR="00184865">
              <w:rPr>
                <w:rFonts w:ascii="Times New Roman" w:hAnsi="Times New Roman"/>
                <w:sz w:val="24"/>
                <w:szCs w:val="24"/>
              </w:rPr>
              <w:t>9</w:t>
            </w:r>
          </w:p>
        </w:tc>
        <w:tc>
          <w:tcPr>
            <w:tcW w:w="1072" w:type="dxa"/>
          </w:tcPr>
          <w:p w:rsidR="00D82A7A" w:rsidRPr="00E81280" w:rsidRDefault="00D82A7A" w:rsidP="00184865">
            <w:pPr>
              <w:spacing w:line="360" w:lineRule="auto"/>
              <w:jc w:val="center"/>
              <w:rPr>
                <w:rFonts w:ascii="Times New Roman" w:hAnsi="Times New Roman"/>
                <w:sz w:val="24"/>
                <w:szCs w:val="24"/>
              </w:rPr>
            </w:pPr>
            <w:r>
              <w:rPr>
                <w:rFonts w:ascii="Times New Roman" w:hAnsi="Times New Roman"/>
                <w:sz w:val="24"/>
                <w:szCs w:val="24"/>
              </w:rPr>
              <w:t>20</w:t>
            </w:r>
            <w:r w:rsidR="00184865">
              <w:rPr>
                <w:rFonts w:ascii="Times New Roman" w:hAnsi="Times New Roman"/>
                <w:sz w:val="24"/>
                <w:szCs w:val="24"/>
              </w:rPr>
              <w:t>20</w:t>
            </w:r>
          </w:p>
        </w:tc>
        <w:tc>
          <w:tcPr>
            <w:tcW w:w="990" w:type="dxa"/>
            <w:gridSpan w:val="2"/>
          </w:tcPr>
          <w:p w:rsidR="00D82A7A" w:rsidRPr="00E81280" w:rsidRDefault="00D82A7A" w:rsidP="00184865">
            <w:pPr>
              <w:spacing w:line="360" w:lineRule="auto"/>
              <w:jc w:val="center"/>
              <w:rPr>
                <w:rFonts w:ascii="Times New Roman" w:hAnsi="Times New Roman"/>
                <w:sz w:val="24"/>
                <w:szCs w:val="24"/>
              </w:rPr>
            </w:pPr>
            <w:r>
              <w:rPr>
                <w:rFonts w:ascii="Times New Roman" w:hAnsi="Times New Roman"/>
                <w:sz w:val="24"/>
                <w:szCs w:val="24"/>
              </w:rPr>
              <w:t>20</w:t>
            </w:r>
            <w:r w:rsidR="003B4E2C">
              <w:rPr>
                <w:rFonts w:ascii="Times New Roman" w:hAnsi="Times New Roman"/>
                <w:sz w:val="24"/>
                <w:szCs w:val="24"/>
              </w:rPr>
              <w:t>2</w:t>
            </w:r>
            <w:r w:rsidR="00184865">
              <w:rPr>
                <w:rFonts w:ascii="Times New Roman" w:hAnsi="Times New Roman"/>
                <w:sz w:val="24"/>
                <w:szCs w:val="24"/>
              </w:rPr>
              <w:t>1</w:t>
            </w:r>
          </w:p>
        </w:tc>
        <w:tc>
          <w:tcPr>
            <w:tcW w:w="990" w:type="dxa"/>
          </w:tcPr>
          <w:p w:rsidR="00D82A7A" w:rsidRPr="00E81280" w:rsidRDefault="00D82A7A" w:rsidP="00184865">
            <w:pPr>
              <w:spacing w:line="360" w:lineRule="auto"/>
              <w:jc w:val="center"/>
              <w:rPr>
                <w:rFonts w:ascii="Times New Roman" w:hAnsi="Times New Roman"/>
                <w:sz w:val="24"/>
                <w:szCs w:val="24"/>
              </w:rPr>
            </w:pPr>
            <w:r>
              <w:rPr>
                <w:rFonts w:ascii="Times New Roman" w:hAnsi="Times New Roman"/>
                <w:sz w:val="24"/>
                <w:szCs w:val="24"/>
              </w:rPr>
              <w:t>202</w:t>
            </w:r>
            <w:r w:rsidR="00184865">
              <w:rPr>
                <w:rFonts w:ascii="Times New Roman" w:hAnsi="Times New Roman"/>
                <w:sz w:val="24"/>
                <w:szCs w:val="24"/>
              </w:rPr>
              <w:t>2</w:t>
            </w:r>
          </w:p>
        </w:tc>
        <w:tc>
          <w:tcPr>
            <w:tcW w:w="990" w:type="dxa"/>
          </w:tcPr>
          <w:p w:rsidR="00D82A7A" w:rsidRPr="00E81280" w:rsidRDefault="00D82A7A" w:rsidP="00184865">
            <w:pPr>
              <w:spacing w:line="360" w:lineRule="auto"/>
              <w:jc w:val="center"/>
              <w:rPr>
                <w:rFonts w:ascii="Times New Roman" w:hAnsi="Times New Roman"/>
                <w:sz w:val="24"/>
                <w:szCs w:val="24"/>
              </w:rPr>
            </w:pPr>
            <w:r>
              <w:rPr>
                <w:rFonts w:ascii="Times New Roman" w:hAnsi="Times New Roman"/>
                <w:sz w:val="24"/>
                <w:szCs w:val="24"/>
              </w:rPr>
              <w:t>202</w:t>
            </w:r>
            <w:r w:rsidR="00184865">
              <w:rPr>
                <w:rFonts w:ascii="Times New Roman" w:hAnsi="Times New Roman"/>
                <w:sz w:val="24"/>
                <w:szCs w:val="24"/>
              </w:rPr>
              <w:t>3</w:t>
            </w:r>
          </w:p>
        </w:tc>
        <w:tc>
          <w:tcPr>
            <w:tcW w:w="1140" w:type="dxa"/>
          </w:tcPr>
          <w:p w:rsidR="00D82A7A" w:rsidRPr="00E81280" w:rsidRDefault="00D82A7A" w:rsidP="00C23EE4">
            <w:pPr>
              <w:spacing w:line="360" w:lineRule="auto"/>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330"/>
        </w:trPr>
        <w:tc>
          <w:tcPr>
            <w:tcW w:w="4478" w:type="dxa"/>
            <w:gridSpan w:val="3"/>
            <w:vMerge w:val="restart"/>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Modificări ale veniturilor bugetare, plus/minus, din care:</w:t>
            </w:r>
          </w:p>
          <w:p w:rsidR="00D82A7A" w:rsidRPr="00E81280" w:rsidRDefault="00D82A7A" w:rsidP="00D82A7A">
            <w:pPr>
              <w:numPr>
                <w:ilvl w:val="0"/>
                <w:numId w:val="1"/>
              </w:numPr>
              <w:spacing w:after="0" w:line="240" w:lineRule="auto"/>
              <w:jc w:val="both"/>
              <w:rPr>
                <w:rFonts w:ascii="Times New Roman" w:hAnsi="Times New Roman"/>
                <w:sz w:val="24"/>
                <w:szCs w:val="24"/>
              </w:rPr>
            </w:pPr>
            <w:r w:rsidRPr="00E81280">
              <w:rPr>
                <w:rFonts w:ascii="Times New Roman" w:hAnsi="Times New Roman"/>
                <w:sz w:val="24"/>
                <w:szCs w:val="24"/>
              </w:rPr>
              <w:t>buget de stat, din acesta:</w:t>
            </w:r>
          </w:p>
          <w:p w:rsidR="00D82A7A" w:rsidRPr="00E81280" w:rsidRDefault="00D82A7A" w:rsidP="00D82A7A">
            <w:pPr>
              <w:numPr>
                <w:ilvl w:val="0"/>
                <w:numId w:val="2"/>
              </w:numPr>
              <w:tabs>
                <w:tab w:val="clear" w:pos="1080"/>
                <w:tab w:val="left" w:pos="720"/>
                <w:tab w:val="num" w:pos="900"/>
              </w:tabs>
              <w:spacing w:after="0" w:line="240" w:lineRule="auto"/>
              <w:ind w:left="360" w:firstLine="0"/>
              <w:jc w:val="both"/>
              <w:rPr>
                <w:rFonts w:ascii="Times New Roman" w:hAnsi="Times New Roman"/>
                <w:sz w:val="24"/>
                <w:szCs w:val="24"/>
              </w:rPr>
            </w:pPr>
            <w:r w:rsidRPr="00E81280">
              <w:rPr>
                <w:rFonts w:ascii="Times New Roman" w:hAnsi="Times New Roman"/>
                <w:sz w:val="24"/>
                <w:szCs w:val="24"/>
              </w:rPr>
              <w:t>impozit pe profit</w:t>
            </w:r>
          </w:p>
          <w:p w:rsidR="00D82A7A" w:rsidRPr="00E81280" w:rsidRDefault="00D82A7A" w:rsidP="00D82A7A">
            <w:pPr>
              <w:numPr>
                <w:ilvl w:val="0"/>
                <w:numId w:val="2"/>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venit</w:t>
            </w:r>
          </w:p>
          <w:p w:rsidR="00D82A7A" w:rsidRPr="00E81280" w:rsidRDefault="00D82A7A" w:rsidP="00D82A7A">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bugete locale:</w:t>
            </w:r>
          </w:p>
          <w:p w:rsidR="00D82A7A" w:rsidRPr="00E81280" w:rsidRDefault="00D82A7A" w:rsidP="00D82A7A">
            <w:pPr>
              <w:numPr>
                <w:ilvl w:val="0"/>
                <w:numId w:val="3"/>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profit</w:t>
            </w:r>
          </w:p>
          <w:p w:rsidR="00D82A7A" w:rsidRPr="00E81280" w:rsidRDefault="00D82A7A" w:rsidP="00D82A7A">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bugetul asigurărilor sociale de stat:</w:t>
            </w:r>
          </w:p>
          <w:p w:rsidR="00D82A7A" w:rsidRPr="00E81280" w:rsidRDefault="00D82A7A" w:rsidP="00D82A7A">
            <w:pPr>
              <w:numPr>
                <w:ilvl w:val="0"/>
                <w:numId w:val="4"/>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contribuţii de asigurări</w:t>
            </w: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451"/>
        </w:trPr>
        <w:tc>
          <w:tcPr>
            <w:tcW w:w="4478" w:type="dxa"/>
            <w:gridSpan w:val="3"/>
            <w:vMerge w:val="restart"/>
          </w:tcPr>
          <w:p w:rsidR="00D82A7A" w:rsidRPr="00E81280" w:rsidRDefault="00D82A7A" w:rsidP="00C23EE4">
            <w:pPr>
              <w:autoSpaceDE w:val="0"/>
              <w:autoSpaceDN w:val="0"/>
              <w:adjustRightInd w:val="0"/>
              <w:rPr>
                <w:rFonts w:ascii="Times New Roman" w:hAnsi="Times New Roman"/>
                <w:sz w:val="24"/>
                <w:szCs w:val="24"/>
              </w:rPr>
            </w:pPr>
            <w:r w:rsidRPr="00E81280">
              <w:rPr>
                <w:rFonts w:ascii="Times New Roman" w:hAnsi="Times New Roman"/>
                <w:sz w:val="24"/>
                <w:szCs w:val="24"/>
              </w:rPr>
              <w:t>2. Modificări ale cheltuielilor bugetare plus/minus, din care:</w:t>
            </w:r>
          </w:p>
          <w:p w:rsidR="00D82A7A" w:rsidRPr="00E81280" w:rsidRDefault="00D82A7A" w:rsidP="00D82A7A">
            <w:pPr>
              <w:numPr>
                <w:ilvl w:val="0"/>
                <w:numId w:val="5"/>
              </w:numPr>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D82A7A" w:rsidRPr="00E81280" w:rsidRDefault="00D82A7A" w:rsidP="00D82A7A">
            <w:pPr>
              <w:numPr>
                <w:ilvl w:val="1"/>
                <w:numId w:val="6"/>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credit extern</w:t>
            </w:r>
          </w:p>
          <w:p w:rsidR="00D82A7A" w:rsidRPr="00E81280" w:rsidRDefault="00D82A7A" w:rsidP="00D82A7A">
            <w:pPr>
              <w:numPr>
                <w:ilvl w:val="1"/>
                <w:numId w:val="7"/>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surse proprii</w:t>
            </w:r>
          </w:p>
        </w:tc>
        <w:tc>
          <w:tcPr>
            <w:tcW w:w="892"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c>
          <w:tcPr>
            <w:tcW w:w="99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r>
      <w:tr w:rsidR="00D82A7A" w:rsidRPr="00E81280" w:rsidTr="00C23EE4">
        <w:trPr>
          <w:trHeight w:val="348"/>
        </w:trPr>
        <w:tc>
          <w:tcPr>
            <w:tcW w:w="4478" w:type="dxa"/>
            <w:gridSpan w:val="3"/>
            <w:vMerge/>
          </w:tcPr>
          <w:p w:rsidR="00D82A7A" w:rsidRPr="00E81280" w:rsidRDefault="00D82A7A" w:rsidP="00C23EE4">
            <w:pPr>
              <w:autoSpaceDE w:val="0"/>
              <w:autoSpaceDN w:val="0"/>
              <w:adjustRightInd w:val="0"/>
              <w:rPr>
                <w:rFonts w:ascii="Times New Roman" w:hAnsi="Times New Roman"/>
                <w:sz w:val="24"/>
                <w:szCs w:val="24"/>
              </w:rPr>
            </w:pPr>
          </w:p>
        </w:tc>
        <w:tc>
          <w:tcPr>
            <w:tcW w:w="892"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292"/>
        </w:trPr>
        <w:tc>
          <w:tcPr>
            <w:tcW w:w="4478" w:type="dxa"/>
            <w:gridSpan w:val="3"/>
            <w:vMerge/>
          </w:tcPr>
          <w:p w:rsidR="00D82A7A" w:rsidRPr="00E81280" w:rsidRDefault="00D82A7A" w:rsidP="00C23EE4">
            <w:pPr>
              <w:autoSpaceDE w:val="0"/>
              <w:autoSpaceDN w:val="0"/>
              <w:adjustRightInd w:val="0"/>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285"/>
        </w:trPr>
        <w:tc>
          <w:tcPr>
            <w:tcW w:w="4478" w:type="dxa"/>
            <w:gridSpan w:val="3"/>
            <w:vMerge w:val="restart"/>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lastRenderedPageBreak/>
              <w:t>3. Impact financiar, plus/minus, din care:</w:t>
            </w:r>
          </w:p>
          <w:p w:rsidR="00D82A7A" w:rsidRPr="00E81280" w:rsidRDefault="00D82A7A" w:rsidP="00D82A7A">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D82A7A" w:rsidRPr="00E81280" w:rsidRDefault="00D82A7A" w:rsidP="00D82A7A">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bugete locale</w:t>
            </w:r>
          </w:p>
        </w:tc>
        <w:tc>
          <w:tcPr>
            <w:tcW w:w="892" w:type="dxa"/>
          </w:tcPr>
          <w:p w:rsidR="00D82A7A" w:rsidRPr="00E81280" w:rsidRDefault="00D82A7A" w:rsidP="00C23EE4">
            <w:pPr>
              <w:ind w:left="-108"/>
              <w:jc w:val="both"/>
              <w:rPr>
                <w:rFonts w:ascii="Times New Roman" w:hAnsi="Times New Roman"/>
                <w:sz w:val="24"/>
                <w:szCs w:val="24"/>
              </w:rPr>
            </w:pPr>
            <w:r w:rsidRPr="00E81280">
              <w:rPr>
                <w:rFonts w:ascii="Times New Roman" w:hAnsi="Times New Roman"/>
                <w:sz w:val="24"/>
                <w:szCs w:val="24"/>
              </w:rPr>
              <w:t xml:space="preserve">  -</w:t>
            </w:r>
          </w:p>
          <w:p w:rsidR="00D82A7A" w:rsidRPr="00E81280" w:rsidDel="005D215F" w:rsidRDefault="00D82A7A" w:rsidP="00C23EE4">
            <w:pPr>
              <w:jc w:val="both"/>
              <w:rPr>
                <w:rFonts w:ascii="Times New Roman" w:hAnsi="Times New Roman"/>
                <w:sz w:val="24"/>
                <w:szCs w:val="24"/>
              </w:rPr>
            </w:pPr>
          </w:p>
        </w:tc>
        <w:tc>
          <w:tcPr>
            <w:tcW w:w="1080"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432"/>
        </w:trPr>
        <w:tc>
          <w:tcPr>
            <w:tcW w:w="4478" w:type="dxa"/>
            <w:gridSpan w:val="3"/>
            <w:vMerge/>
          </w:tcPr>
          <w:p w:rsidR="00D82A7A" w:rsidRPr="00E81280" w:rsidRDefault="00D82A7A" w:rsidP="00C23EE4">
            <w:pPr>
              <w:autoSpaceDE w:val="0"/>
              <w:autoSpaceDN w:val="0"/>
              <w:adjustRightInd w:val="0"/>
              <w:jc w:val="both"/>
              <w:rPr>
                <w:rFonts w:ascii="Times New Roman" w:hAnsi="Times New Roman"/>
                <w:sz w:val="24"/>
                <w:szCs w:val="24"/>
              </w:rPr>
            </w:pPr>
          </w:p>
        </w:tc>
        <w:tc>
          <w:tcPr>
            <w:tcW w:w="892"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74"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006"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Propuneri pentru acoperirea creşterii cheltuielilor bugetare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 xml:space="preserve">- </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Propuneri pentru a compensa reducerea veniturilor bugetare</w:t>
            </w:r>
          </w:p>
        </w:tc>
        <w:tc>
          <w:tcPr>
            <w:tcW w:w="6082" w:type="dxa"/>
            <w:gridSpan w:val="8"/>
          </w:tcPr>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Calcule detaliate privind fundamentarea modificărilor veniturilor şi/sau cheltuielilor bugetare</w:t>
            </w:r>
          </w:p>
        </w:tc>
        <w:tc>
          <w:tcPr>
            <w:tcW w:w="6082" w:type="dxa"/>
            <w:gridSpan w:val="8"/>
          </w:tcPr>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Pr>
                <w:rFonts w:ascii="Times New Roman" w:hAnsi="Times New Roman"/>
                <w:sz w:val="24"/>
                <w:szCs w:val="24"/>
              </w:rPr>
              <w:t>7. Alte informaţii</w:t>
            </w:r>
          </w:p>
        </w:tc>
        <w:tc>
          <w:tcPr>
            <w:tcW w:w="6082" w:type="dxa"/>
            <w:gridSpan w:val="8"/>
          </w:tcPr>
          <w:p w:rsidR="00D82A7A" w:rsidRPr="00E81280" w:rsidRDefault="00D82A7A" w:rsidP="00C23EE4">
            <w:pPr>
              <w:jc w:val="both"/>
              <w:rPr>
                <w:rFonts w:ascii="Times New Roman" w:hAnsi="Times New Roman"/>
                <w:sz w:val="24"/>
                <w:szCs w:val="24"/>
              </w:rPr>
            </w:pPr>
            <w:r>
              <w:rPr>
                <w:rFonts w:ascii="Times New Roman" w:hAnsi="Times New Roman"/>
                <w:sz w:val="24"/>
                <w:szCs w:val="24"/>
              </w:rPr>
              <w:t>Nu au fost identificate</w:t>
            </w:r>
          </w:p>
        </w:tc>
      </w:tr>
      <w:tr w:rsidR="00D82A7A" w:rsidRPr="00E81280" w:rsidTr="00C23EE4">
        <w:trPr>
          <w:trHeight w:val="401"/>
        </w:trPr>
        <w:tc>
          <w:tcPr>
            <w:tcW w:w="10560" w:type="dxa"/>
            <w:gridSpan w:val="11"/>
          </w:tcPr>
          <w:p w:rsidR="00D82A7A" w:rsidRPr="00E81280" w:rsidRDefault="00D82A7A" w:rsidP="00776F94">
            <w:pPr>
              <w:rPr>
                <w:rFonts w:ascii="Times New Roman" w:hAnsi="Times New Roman"/>
                <w:b/>
                <w:sz w:val="24"/>
                <w:szCs w:val="24"/>
              </w:rPr>
            </w:pPr>
            <w:r w:rsidRPr="00E81280">
              <w:rPr>
                <w:rFonts w:ascii="Times New Roman" w:hAnsi="Times New Roman"/>
                <w:b/>
                <w:sz w:val="24"/>
                <w:szCs w:val="24"/>
              </w:rPr>
              <w:t>Secţiunea a 5-a: Efectele proiectului de act normativ asupra legislaţiei în vigoare</w:t>
            </w:r>
          </w:p>
        </w:tc>
      </w:tr>
      <w:tr w:rsidR="00D82A7A" w:rsidRPr="00E81280" w:rsidTr="00C23EE4">
        <w:tc>
          <w:tcPr>
            <w:tcW w:w="4478" w:type="dxa"/>
            <w:gridSpan w:val="3"/>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1.Măsuri normative necesare pentru aplicarea prevederilor proiectului de act normativ:</w:t>
            </w:r>
          </w:p>
          <w:p w:rsidR="00D82A7A" w:rsidRPr="00E81280" w:rsidRDefault="00D82A7A" w:rsidP="00C23EE4">
            <w:pPr>
              <w:rPr>
                <w:rFonts w:ascii="Times New Roman" w:hAnsi="Times New Roman"/>
                <w:sz w:val="24"/>
                <w:szCs w:val="24"/>
              </w:rPr>
            </w:pPr>
            <w:r w:rsidRPr="00E81280">
              <w:rPr>
                <w:rFonts w:ascii="Times New Roman" w:hAnsi="Times New Roman"/>
                <w:sz w:val="24"/>
                <w:szCs w:val="24"/>
              </w:rPr>
              <w:t xml:space="preserve">a) acte normative în vigoare ce vor fi modificate sau abrogate, ca urmare a intrării în vigoare a proiectului de act normativ; </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b) acte normative ce urmează a fi elaborate în vederea implementării noilor dispoziţii</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 xml:space="preserve"> Proiectul de act normativ nu se referă la acest subiect.</w:t>
            </w:r>
          </w:p>
        </w:tc>
      </w:tr>
      <w:tr w:rsidR="00D82A7A" w:rsidRPr="00E81280" w:rsidTr="00C23EE4">
        <w:tc>
          <w:tcPr>
            <w:tcW w:w="4478" w:type="dxa"/>
            <w:gridSpan w:val="3"/>
          </w:tcPr>
          <w:p w:rsidR="00D82A7A" w:rsidRPr="00A431BA" w:rsidRDefault="00D82A7A" w:rsidP="00C23EE4">
            <w:pPr>
              <w:autoSpaceDE w:val="0"/>
              <w:autoSpaceDN w:val="0"/>
              <w:adjustRightInd w:val="0"/>
              <w:jc w:val="both"/>
              <w:rPr>
                <w:rFonts w:ascii="Times New Roman" w:hAnsi="Times New Roman"/>
                <w:sz w:val="24"/>
                <w:szCs w:val="24"/>
              </w:rPr>
            </w:pPr>
            <w:r w:rsidRPr="00A431BA">
              <w:rPr>
                <w:rFonts w:ascii="Times New Roman" w:hAnsi="Times New Roman"/>
                <w:sz w:val="24"/>
                <w:szCs w:val="24"/>
              </w:rPr>
              <w:t>1</w:t>
            </w:r>
            <w:r w:rsidRPr="00A431BA">
              <w:rPr>
                <w:rFonts w:ascii="Times New Roman" w:hAnsi="Times New Roman"/>
                <w:sz w:val="24"/>
                <w:szCs w:val="24"/>
                <w:vertAlign w:val="superscript"/>
              </w:rPr>
              <w:t xml:space="preserve">1 </w:t>
            </w:r>
            <w:r w:rsidRPr="00A431BA">
              <w:rPr>
                <w:rFonts w:ascii="Times New Roman" w:hAnsi="Times New Roman"/>
                <w:sz w:val="24"/>
                <w:szCs w:val="24"/>
              </w:rPr>
              <w:t>Compatibilitatea proiectului de act normativ cu legislaţia în domeniul achiziţiilor publice:</w:t>
            </w:r>
          </w:p>
          <w:p w:rsidR="00D82A7A" w:rsidRPr="00A431BA" w:rsidRDefault="00D82A7A" w:rsidP="00C23EE4">
            <w:pPr>
              <w:autoSpaceDE w:val="0"/>
              <w:autoSpaceDN w:val="0"/>
              <w:adjustRightInd w:val="0"/>
              <w:jc w:val="both"/>
              <w:rPr>
                <w:rFonts w:ascii="Times New Roman" w:hAnsi="Times New Roman"/>
                <w:sz w:val="24"/>
                <w:szCs w:val="24"/>
              </w:rPr>
            </w:pPr>
            <w:r w:rsidRPr="00A431BA">
              <w:rPr>
                <w:rFonts w:ascii="Times New Roman" w:hAnsi="Times New Roman"/>
                <w:sz w:val="24"/>
                <w:szCs w:val="24"/>
              </w:rPr>
              <w:t>a) impact legislativ - prevederi de modificare şi completare a cadrului normativ în domeniul achiziţiilor publice, prevederi derogatorii;</w:t>
            </w:r>
          </w:p>
          <w:p w:rsidR="00D82A7A" w:rsidRPr="00A431BA" w:rsidRDefault="00D82A7A" w:rsidP="00C23EE4">
            <w:pPr>
              <w:jc w:val="both"/>
              <w:rPr>
                <w:rFonts w:ascii="Times New Roman" w:hAnsi="Times New Roman"/>
                <w:sz w:val="24"/>
                <w:szCs w:val="24"/>
              </w:rPr>
            </w:pPr>
            <w:r w:rsidRPr="00A431BA">
              <w:rPr>
                <w:rFonts w:ascii="Times New Roman" w:hAnsi="Times New Roman"/>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A431BA">
              <w:rPr>
                <w:rFonts w:ascii="Times New Roman" w:hAnsi="Times New Roman"/>
                <w:sz w:val="28"/>
                <w:szCs w:val="28"/>
              </w:rPr>
              <w:t>.</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Compatibilitatea proiectului de act normativ cu legislaţia comunitară în materie</w:t>
            </w:r>
          </w:p>
        </w:tc>
        <w:tc>
          <w:tcPr>
            <w:tcW w:w="6082" w:type="dxa"/>
            <w:gridSpan w:val="8"/>
          </w:tcPr>
          <w:p w:rsidR="00D82A7A"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lastRenderedPageBreak/>
              <w:t>3. Măsuri normative necesare aplicării directe a actelor normative comunitare</w:t>
            </w:r>
          </w:p>
        </w:tc>
        <w:tc>
          <w:tcPr>
            <w:tcW w:w="6082" w:type="dxa"/>
            <w:gridSpan w:val="8"/>
          </w:tcPr>
          <w:p w:rsidR="00D82A7A"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Hotărâri ale Curţii Europene de Justiţie a Uniunii Europene</w:t>
            </w:r>
          </w:p>
        </w:tc>
        <w:tc>
          <w:tcPr>
            <w:tcW w:w="6082" w:type="dxa"/>
            <w:gridSpan w:val="8"/>
          </w:tcPr>
          <w:p w:rsidR="00D82A7A" w:rsidRPr="00E81280" w:rsidRDefault="00D82A7A" w:rsidP="00C23EE4">
            <w:pPr>
              <w:spacing w:line="360" w:lineRule="auto"/>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Alte acte normative şi/sau documente internaţionale din care decurg angajamente</w:t>
            </w:r>
          </w:p>
        </w:tc>
        <w:tc>
          <w:tcPr>
            <w:tcW w:w="6082" w:type="dxa"/>
            <w:gridSpan w:val="8"/>
          </w:tcPr>
          <w:p w:rsidR="00D82A7A" w:rsidRPr="00E81280" w:rsidRDefault="00D82A7A" w:rsidP="00C23EE4">
            <w:pPr>
              <w:jc w:val="both"/>
              <w:rPr>
                <w:rFonts w:ascii="Times New Roman" w:hAnsi="Times New Roman"/>
                <w:sz w:val="24"/>
                <w:szCs w:val="24"/>
              </w:rPr>
            </w:pPr>
            <w:r>
              <w:rPr>
                <w:rFonts w:ascii="Times New Roman" w:hAnsi="Times New Roman"/>
                <w:sz w:val="24"/>
                <w:szCs w:val="24"/>
              </w:rPr>
              <w:t xml:space="preserve">Proiectul de act normativ nu se referă la acest subiect. </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Alte informaţi</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Nu au fost identificate</w:t>
            </w:r>
          </w:p>
        </w:tc>
      </w:tr>
      <w:tr w:rsidR="00D82A7A" w:rsidRPr="00E81280" w:rsidTr="00C23EE4">
        <w:tc>
          <w:tcPr>
            <w:tcW w:w="10560" w:type="dxa"/>
            <w:gridSpan w:val="11"/>
          </w:tcPr>
          <w:p w:rsidR="00D82A7A" w:rsidRPr="00E81280" w:rsidRDefault="00D82A7A" w:rsidP="00776F94">
            <w:pPr>
              <w:autoSpaceDE w:val="0"/>
              <w:autoSpaceDN w:val="0"/>
              <w:adjustRightInd w:val="0"/>
              <w:spacing w:line="360" w:lineRule="auto"/>
              <w:rPr>
                <w:rFonts w:ascii="Times New Roman" w:hAnsi="Times New Roman"/>
                <w:b/>
                <w:sz w:val="24"/>
                <w:szCs w:val="24"/>
              </w:rPr>
            </w:pPr>
            <w:r w:rsidRPr="00E81280">
              <w:rPr>
                <w:rFonts w:ascii="Times New Roman" w:hAnsi="Times New Roman"/>
                <w:b/>
                <w:sz w:val="24"/>
                <w:szCs w:val="24"/>
              </w:rPr>
              <w:t>Secţiunea a 6-a: Consultările efectuate în vederea elaborării proiectului de act normativ</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1. Informaţii privind procesul de consultare cu organizaţii neguvernamentale, institute de cercetare şi alte organisme implicate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spacing w:line="360" w:lineRule="auto"/>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Consultările desfăşurate în cadrul consiliilor interministeriale, în conformitate cu prevederile Hotărârii Guvernului nr.</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 xml:space="preserve"> 750/2005 privind constituirea consiliilor interministeriale permanente</w:t>
            </w:r>
          </w:p>
        </w:tc>
        <w:tc>
          <w:tcPr>
            <w:tcW w:w="6082" w:type="dxa"/>
            <w:gridSpan w:val="8"/>
          </w:tcPr>
          <w:p w:rsidR="00D82A7A" w:rsidRPr="00E81280" w:rsidRDefault="00D82A7A" w:rsidP="00C23EE4">
            <w:pPr>
              <w:spacing w:line="360" w:lineRule="auto"/>
              <w:jc w:val="both"/>
              <w:rPr>
                <w:rFonts w:ascii="Times New Roman" w:hAnsi="Times New Roman"/>
                <w:sz w:val="24"/>
                <w:szCs w:val="24"/>
              </w:rPr>
            </w:pPr>
            <w:r w:rsidRPr="0072580D">
              <w:rPr>
                <w:rFonts w:ascii="Times New Roman" w:hAnsi="Times New Roman"/>
                <w:sz w:val="24"/>
                <w:szCs w:val="24"/>
              </w:rPr>
              <w:t>Acest proiect nu este supus consultărilor comisiilor interministeriale</w:t>
            </w:r>
          </w:p>
        </w:tc>
      </w:tr>
      <w:tr w:rsidR="00D82A7A" w:rsidRPr="00E81280" w:rsidTr="00C23EE4">
        <w:tc>
          <w:tcPr>
            <w:tcW w:w="4478" w:type="dxa"/>
            <w:gridSpan w:val="3"/>
          </w:tcPr>
          <w:p w:rsidR="00D82A7A" w:rsidRPr="00E81280" w:rsidRDefault="00D82A7A" w:rsidP="00776F94">
            <w:pPr>
              <w:autoSpaceDE w:val="0"/>
              <w:autoSpaceDN w:val="0"/>
              <w:adjustRightInd w:val="0"/>
              <w:spacing w:line="240" w:lineRule="auto"/>
              <w:jc w:val="both"/>
              <w:rPr>
                <w:rFonts w:ascii="Times New Roman" w:hAnsi="Times New Roman"/>
                <w:sz w:val="24"/>
                <w:szCs w:val="24"/>
              </w:rPr>
            </w:pPr>
            <w:r w:rsidRPr="00E81280">
              <w:rPr>
                <w:rFonts w:ascii="Times New Roman" w:hAnsi="Times New Roman"/>
                <w:sz w:val="24"/>
                <w:szCs w:val="24"/>
              </w:rPr>
              <w:t>5. Informaţii privind avizarea către:</w:t>
            </w:r>
          </w:p>
          <w:p w:rsidR="00D82A7A" w:rsidRPr="00E81280" w:rsidRDefault="00D82A7A" w:rsidP="00776F94">
            <w:pPr>
              <w:autoSpaceDE w:val="0"/>
              <w:autoSpaceDN w:val="0"/>
              <w:adjustRightInd w:val="0"/>
              <w:spacing w:line="240" w:lineRule="auto"/>
              <w:jc w:val="both"/>
              <w:rPr>
                <w:rFonts w:ascii="Times New Roman" w:hAnsi="Times New Roman"/>
                <w:sz w:val="24"/>
                <w:szCs w:val="24"/>
              </w:rPr>
            </w:pPr>
            <w:r w:rsidRPr="00E81280">
              <w:rPr>
                <w:rFonts w:ascii="Times New Roman" w:hAnsi="Times New Roman"/>
                <w:sz w:val="24"/>
                <w:szCs w:val="24"/>
              </w:rPr>
              <w:t>a) Consiliul Legislativ</w:t>
            </w:r>
          </w:p>
          <w:p w:rsidR="00D82A7A" w:rsidRPr="00E81280" w:rsidRDefault="00D82A7A" w:rsidP="00776F94">
            <w:pPr>
              <w:autoSpaceDE w:val="0"/>
              <w:autoSpaceDN w:val="0"/>
              <w:adjustRightInd w:val="0"/>
              <w:spacing w:line="240" w:lineRule="auto"/>
              <w:jc w:val="both"/>
              <w:rPr>
                <w:rFonts w:ascii="Times New Roman" w:hAnsi="Times New Roman"/>
                <w:sz w:val="24"/>
                <w:szCs w:val="24"/>
              </w:rPr>
            </w:pPr>
            <w:r w:rsidRPr="00E81280">
              <w:rPr>
                <w:rFonts w:ascii="Times New Roman" w:hAnsi="Times New Roman"/>
                <w:sz w:val="24"/>
                <w:szCs w:val="24"/>
              </w:rPr>
              <w:t>b) Consiliul Suprem de Apărare a Ţării</w:t>
            </w:r>
          </w:p>
          <w:p w:rsidR="00D82A7A" w:rsidRPr="00E81280" w:rsidRDefault="00D82A7A" w:rsidP="00776F94">
            <w:pPr>
              <w:autoSpaceDE w:val="0"/>
              <w:autoSpaceDN w:val="0"/>
              <w:adjustRightInd w:val="0"/>
              <w:spacing w:line="240" w:lineRule="auto"/>
              <w:jc w:val="both"/>
              <w:rPr>
                <w:rFonts w:ascii="Times New Roman" w:hAnsi="Times New Roman"/>
                <w:sz w:val="24"/>
                <w:szCs w:val="24"/>
              </w:rPr>
            </w:pPr>
            <w:r w:rsidRPr="00E81280">
              <w:rPr>
                <w:rFonts w:ascii="Times New Roman" w:hAnsi="Times New Roman"/>
                <w:sz w:val="24"/>
                <w:szCs w:val="24"/>
              </w:rPr>
              <w:t>c) Consiliul Economic şi Social</w:t>
            </w:r>
          </w:p>
          <w:p w:rsidR="00D82A7A" w:rsidRPr="00E81280" w:rsidRDefault="00D82A7A" w:rsidP="00776F94">
            <w:pPr>
              <w:autoSpaceDE w:val="0"/>
              <w:autoSpaceDN w:val="0"/>
              <w:adjustRightInd w:val="0"/>
              <w:spacing w:line="240" w:lineRule="auto"/>
              <w:jc w:val="both"/>
              <w:rPr>
                <w:rFonts w:ascii="Times New Roman" w:hAnsi="Times New Roman"/>
                <w:sz w:val="24"/>
                <w:szCs w:val="24"/>
              </w:rPr>
            </w:pPr>
            <w:r w:rsidRPr="00E81280">
              <w:rPr>
                <w:rFonts w:ascii="Times New Roman" w:hAnsi="Times New Roman"/>
                <w:sz w:val="24"/>
                <w:szCs w:val="24"/>
              </w:rPr>
              <w:t>d) Consiliul Concurenţei</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lastRenderedPageBreak/>
              <w:t>e) Curtea de Conturi</w:t>
            </w:r>
          </w:p>
        </w:tc>
        <w:tc>
          <w:tcPr>
            <w:tcW w:w="6082" w:type="dxa"/>
            <w:gridSpan w:val="8"/>
          </w:tcPr>
          <w:p w:rsidR="00D82A7A" w:rsidRPr="00E81280" w:rsidRDefault="00D82A7A" w:rsidP="00C23EE4">
            <w:pPr>
              <w:jc w:val="both"/>
              <w:rPr>
                <w:rFonts w:ascii="Times New Roman" w:hAnsi="Times New Roman"/>
                <w:sz w:val="24"/>
                <w:szCs w:val="24"/>
              </w:rPr>
            </w:pPr>
            <w:r>
              <w:rPr>
                <w:rFonts w:ascii="Times New Roman" w:hAnsi="Times New Roman"/>
                <w:sz w:val="24"/>
                <w:szCs w:val="24"/>
              </w:rPr>
              <w:lastRenderedPageBreak/>
              <w:t>Proiectul nu se referă la acest subiect.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6. Alte informaţii</w:t>
            </w:r>
          </w:p>
        </w:tc>
        <w:tc>
          <w:tcPr>
            <w:tcW w:w="6082" w:type="dxa"/>
            <w:gridSpan w:val="8"/>
          </w:tcPr>
          <w:p w:rsidR="00D82A7A" w:rsidRPr="003C518C" w:rsidRDefault="00D82A7A" w:rsidP="00C23EE4">
            <w:pPr>
              <w:jc w:val="both"/>
              <w:rPr>
                <w:rFonts w:ascii="Times New Roman" w:hAnsi="Times New Roman"/>
                <w:sz w:val="24"/>
                <w:szCs w:val="24"/>
              </w:rPr>
            </w:pPr>
            <w:r>
              <w:rPr>
                <w:rFonts w:ascii="Times New Roman" w:hAnsi="Times New Roman"/>
                <w:sz w:val="24"/>
                <w:szCs w:val="24"/>
              </w:rPr>
              <w:t>Nu au fost identificate.</w:t>
            </w:r>
          </w:p>
        </w:tc>
      </w:tr>
      <w:tr w:rsidR="00D82A7A" w:rsidRPr="00E81280" w:rsidTr="00C23EE4">
        <w:tc>
          <w:tcPr>
            <w:tcW w:w="10560" w:type="dxa"/>
            <w:gridSpan w:val="11"/>
          </w:tcPr>
          <w:p w:rsidR="00D82A7A" w:rsidRPr="002165F5" w:rsidRDefault="00D82A7A" w:rsidP="0031366E">
            <w:pPr>
              <w:autoSpaceDE w:val="0"/>
              <w:autoSpaceDN w:val="0"/>
              <w:adjustRightInd w:val="0"/>
              <w:rPr>
                <w:rFonts w:ascii="Times New Roman" w:hAnsi="Times New Roman"/>
                <w:sz w:val="24"/>
                <w:szCs w:val="24"/>
              </w:rPr>
            </w:pPr>
            <w:r w:rsidRPr="00E81280">
              <w:rPr>
                <w:rFonts w:ascii="Times New Roman" w:hAnsi="Times New Roman"/>
                <w:b/>
                <w:sz w:val="24"/>
                <w:szCs w:val="24"/>
              </w:rPr>
              <w:t>Secţiunea a 7-a: Activităţi de informare publică privind elaborarea şi implementarea proiectului de act normativ</w:t>
            </w:r>
          </w:p>
        </w:tc>
      </w:tr>
      <w:tr w:rsidR="00D82A7A" w:rsidRPr="00E81280" w:rsidTr="00C23EE4">
        <w:tc>
          <w:tcPr>
            <w:tcW w:w="4478" w:type="dxa"/>
            <w:gridSpan w:val="3"/>
          </w:tcPr>
          <w:p w:rsidR="00D82A7A" w:rsidRPr="00E81280" w:rsidRDefault="00D82A7A" w:rsidP="005943CF">
            <w:pPr>
              <w:autoSpaceDE w:val="0"/>
              <w:autoSpaceDN w:val="0"/>
              <w:adjustRightInd w:val="0"/>
              <w:ind w:left="-69"/>
              <w:jc w:val="both"/>
              <w:rPr>
                <w:rFonts w:ascii="Times New Roman" w:hAnsi="Times New Roman"/>
                <w:sz w:val="24"/>
                <w:szCs w:val="24"/>
              </w:rPr>
            </w:pPr>
            <w:r w:rsidRPr="00E81280">
              <w:rPr>
                <w:rFonts w:ascii="Times New Roman" w:hAnsi="Times New Roman"/>
                <w:sz w:val="24"/>
                <w:szCs w:val="24"/>
              </w:rPr>
              <w:t>1. Informarea societăţii civile cu privire la necesitatea elaborării proiectului de act normativ</w:t>
            </w:r>
          </w:p>
        </w:tc>
        <w:tc>
          <w:tcPr>
            <w:tcW w:w="6082" w:type="dxa"/>
            <w:gridSpan w:val="8"/>
          </w:tcPr>
          <w:p w:rsidR="00D82A7A" w:rsidRDefault="003B4E2C" w:rsidP="00A618E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Prezentul proiect de act normativ </w:t>
            </w:r>
            <w:r w:rsidR="00A618E4">
              <w:rPr>
                <w:rFonts w:ascii="Times New Roman" w:eastAsia="Times New Roman" w:hAnsi="Times New Roman"/>
                <w:sz w:val="24"/>
                <w:szCs w:val="24"/>
              </w:rPr>
              <w:t>este</w:t>
            </w:r>
            <w:r>
              <w:rPr>
                <w:rFonts w:ascii="Times New Roman" w:eastAsia="Times New Roman" w:hAnsi="Times New Roman"/>
                <w:sz w:val="24"/>
                <w:szCs w:val="24"/>
              </w:rPr>
              <w:t xml:space="preserve"> supus procedurii prevăzute de </w:t>
            </w:r>
            <w:r w:rsidRPr="00792E7F">
              <w:rPr>
                <w:rFonts w:ascii="Times New Roman" w:eastAsia="Times New Roman" w:hAnsi="Times New Roman"/>
                <w:i/>
                <w:sz w:val="24"/>
                <w:szCs w:val="24"/>
              </w:rPr>
              <w:t>Legea nr. 52/2003 privind transparenţa decizională în administraţia publică</w:t>
            </w:r>
            <w:r w:rsidR="00106118">
              <w:rPr>
                <w:rFonts w:ascii="Times New Roman" w:eastAsia="Times New Roman" w:hAnsi="Times New Roman"/>
                <w:sz w:val="24"/>
                <w:szCs w:val="24"/>
              </w:rPr>
              <w:t>, republicată, cu modificările ulterioare.</w:t>
            </w:r>
            <w:r w:rsidR="00792E7F">
              <w:rPr>
                <w:rFonts w:ascii="Times New Roman" w:eastAsia="Times New Roman" w:hAnsi="Times New Roman"/>
                <w:sz w:val="24"/>
                <w:szCs w:val="24"/>
              </w:rPr>
              <w:t xml:space="preserve"> </w:t>
            </w:r>
          </w:p>
          <w:p w:rsidR="00A618E4" w:rsidRDefault="00A618E4" w:rsidP="00A618E4">
            <w:pPr>
              <w:spacing w:after="0" w:line="240" w:lineRule="auto"/>
              <w:jc w:val="both"/>
              <w:rPr>
                <w:rFonts w:ascii="Times New Roman" w:eastAsia="Times New Roman" w:hAnsi="Times New Roman"/>
                <w:sz w:val="24"/>
                <w:szCs w:val="24"/>
              </w:rPr>
            </w:pPr>
          </w:p>
          <w:p w:rsidR="00A618E4" w:rsidRDefault="00A618E4" w:rsidP="00A618E4">
            <w:pPr>
              <w:spacing w:after="0" w:line="240" w:lineRule="auto"/>
              <w:jc w:val="both"/>
              <w:rPr>
                <w:rFonts w:ascii="Times New Roman" w:eastAsia="Times New Roman" w:hAnsi="Times New Roman"/>
                <w:sz w:val="24"/>
                <w:szCs w:val="24"/>
              </w:rPr>
            </w:pPr>
          </w:p>
          <w:p w:rsidR="00A618E4" w:rsidRPr="00E81280" w:rsidRDefault="00A618E4" w:rsidP="00A618E4">
            <w:pPr>
              <w:spacing w:after="0" w:line="240" w:lineRule="auto"/>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rPr>
                <w:rFonts w:ascii="Times New Roman" w:hAnsi="Times New Roman"/>
                <w:sz w:val="24"/>
                <w:szCs w:val="24"/>
              </w:rPr>
            </w:pPr>
            <w:r w:rsidRPr="00E81280">
              <w:rPr>
                <w:rFonts w:ascii="Times New Roman" w:hAnsi="Times New Roman"/>
                <w:sz w:val="24"/>
                <w:szCs w:val="24"/>
              </w:rPr>
              <w:t>3. Alte informaţii</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Nu au fost identificate</w:t>
            </w:r>
          </w:p>
        </w:tc>
      </w:tr>
      <w:tr w:rsidR="00D82A7A" w:rsidRPr="00E81280" w:rsidTr="00C23EE4">
        <w:trPr>
          <w:trHeight w:val="269"/>
        </w:trPr>
        <w:tc>
          <w:tcPr>
            <w:tcW w:w="10560" w:type="dxa"/>
            <w:gridSpan w:val="11"/>
          </w:tcPr>
          <w:p w:rsidR="00D82A7A" w:rsidRPr="00E81280" w:rsidRDefault="00D82A7A" w:rsidP="0031366E">
            <w:pPr>
              <w:autoSpaceDE w:val="0"/>
              <w:autoSpaceDN w:val="0"/>
              <w:adjustRightInd w:val="0"/>
              <w:spacing w:line="360" w:lineRule="auto"/>
              <w:rPr>
                <w:rFonts w:ascii="Times New Roman" w:hAnsi="Times New Roman"/>
                <w:b/>
                <w:sz w:val="24"/>
                <w:szCs w:val="24"/>
              </w:rPr>
            </w:pPr>
            <w:r w:rsidRPr="00E81280">
              <w:rPr>
                <w:rFonts w:ascii="Times New Roman" w:hAnsi="Times New Roman"/>
                <w:b/>
                <w:sz w:val="24"/>
                <w:szCs w:val="24"/>
              </w:rPr>
              <w:t>Secţiunea a 8-a: Măsuri de implementare</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Măsurile </w:t>
            </w:r>
            <w:r w:rsidRPr="00E81280">
              <w:rPr>
                <w:rFonts w:ascii="Times New Roman" w:hAnsi="Times New Roman"/>
                <w:sz w:val="24"/>
                <w:szCs w:val="24"/>
              </w:rPr>
              <w:t>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Alte informaţii</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Nu au fost identificate</w:t>
            </w:r>
          </w:p>
        </w:tc>
      </w:tr>
    </w:tbl>
    <w:p w:rsidR="00D82A7A" w:rsidRDefault="00D82A7A" w:rsidP="00D82A7A">
      <w:pPr>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31366E" w:rsidRDefault="0031366E" w:rsidP="00A050F7">
      <w:pPr>
        <w:spacing w:after="0" w:line="240" w:lineRule="auto"/>
        <w:jc w:val="both"/>
        <w:rPr>
          <w:rFonts w:ascii="Times New Roman" w:hAnsi="Times New Roman"/>
          <w:b/>
          <w:sz w:val="24"/>
          <w:szCs w:val="24"/>
        </w:rPr>
      </w:pPr>
    </w:p>
    <w:p w:rsidR="009D59AC" w:rsidRDefault="009D59AC" w:rsidP="00A050F7">
      <w:pPr>
        <w:spacing w:after="0" w:line="240" w:lineRule="auto"/>
        <w:jc w:val="both"/>
        <w:rPr>
          <w:rFonts w:ascii="Times New Roman" w:hAnsi="Times New Roman"/>
          <w:b/>
          <w:sz w:val="24"/>
          <w:szCs w:val="24"/>
        </w:rPr>
      </w:pPr>
    </w:p>
    <w:p w:rsidR="009D59AC" w:rsidRDefault="009D59AC" w:rsidP="00A050F7">
      <w:pPr>
        <w:spacing w:after="0" w:line="240" w:lineRule="auto"/>
        <w:jc w:val="both"/>
        <w:rPr>
          <w:rFonts w:ascii="Times New Roman" w:hAnsi="Times New Roman"/>
          <w:b/>
          <w:sz w:val="24"/>
          <w:szCs w:val="24"/>
        </w:rPr>
      </w:pPr>
    </w:p>
    <w:p w:rsidR="009D59AC" w:rsidRDefault="009D59AC" w:rsidP="00A050F7">
      <w:pPr>
        <w:spacing w:after="0" w:line="240" w:lineRule="auto"/>
        <w:jc w:val="both"/>
        <w:rPr>
          <w:rFonts w:ascii="Times New Roman" w:hAnsi="Times New Roman"/>
          <w:b/>
          <w:sz w:val="24"/>
          <w:szCs w:val="24"/>
        </w:rPr>
      </w:pPr>
    </w:p>
    <w:p w:rsidR="009D59AC" w:rsidRDefault="009D59AC" w:rsidP="00A050F7">
      <w:pPr>
        <w:spacing w:after="0" w:line="240" w:lineRule="auto"/>
        <w:jc w:val="both"/>
        <w:rPr>
          <w:rFonts w:ascii="Times New Roman" w:hAnsi="Times New Roman"/>
          <w:b/>
          <w:sz w:val="24"/>
          <w:szCs w:val="24"/>
        </w:rPr>
      </w:pPr>
    </w:p>
    <w:p w:rsidR="00A618E4" w:rsidRDefault="00A618E4" w:rsidP="00A050F7">
      <w:pPr>
        <w:spacing w:after="0" w:line="240" w:lineRule="auto"/>
        <w:jc w:val="both"/>
        <w:rPr>
          <w:rFonts w:ascii="Times New Roman" w:hAnsi="Times New Roman"/>
          <w:b/>
          <w:sz w:val="24"/>
          <w:szCs w:val="24"/>
        </w:rPr>
      </w:pPr>
    </w:p>
    <w:p w:rsidR="00A618E4" w:rsidRDefault="00A618E4" w:rsidP="00A050F7">
      <w:pPr>
        <w:spacing w:after="0" w:line="240" w:lineRule="auto"/>
        <w:jc w:val="both"/>
        <w:rPr>
          <w:rFonts w:ascii="Times New Roman" w:hAnsi="Times New Roman"/>
          <w:b/>
          <w:sz w:val="24"/>
          <w:szCs w:val="24"/>
        </w:rPr>
      </w:pPr>
    </w:p>
    <w:p w:rsidR="00A618E4" w:rsidRDefault="00A618E4" w:rsidP="00A050F7">
      <w:pPr>
        <w:spacing w:after="0" w:line="240" w:lineRule="auto"/>
        <w:jc w:val="both"/>
        <w:rPr>
          <w:rFonts w:ascii="Times New Roman" w:hAnsi="Times New Roman"/>
          <w:b/>
          <w:sz w:val="24"/>
          <w:szCs w:val="24"/>
        </w:rPr>
      </w:pPr>
    </w:p>
    <w:p w:rsidR="00A618E4" w:rsidRDefault="00A618E4" w:rsidP="00A050F7">
      <w:pPr>
        <w:spacing w:after="0" w:line="240" w:lineRule="auto"/>
        <w:jc w:val="both"/>
        <w:rPr>
          <w:rFonts w:ascii="Times New Roman" w:hAnsi="Times New Roman"/>
          <w:b/>
          <w:sz w:val="24"/>
          <w:szCs w:val="24"/>
        </w:rPr>
      </w:pPr>
    </w:p>
    <w:p w:rsidR="00A618E4" w:rsidRDefault="00A618E4" w:rsidP="00A050F7">
      <w:pPr>
        <w:spacing w:after="0" w:line="240" w:lineRule="auto"/>
        <w:jc w:val="both"/>
        <w:rPr>
          <w:rFonts w:ascii="Times New Roman" w:hAnsi="Times New Roman"/>
          <w:b/>
          <w:sz w:val="24"/>
          <w:szCs w:val="24"/>
        </w:rPr>
      </w:pPr>
    </w:p>
    <w:p w:rsidR="00A618E4" w:rsidRDefault="00A618E4" w:rsidP="00A050F7">
      <w:pPr>
        <w:spacing w:after="0" w:line="240" w:lineRule="auto"/>
        <w:jc w:val="both"/>
        <w:rPr>
          <w:rFonts w:ascii="Times New Roman" w:hAnsi="Times New Roman"/>
          <w:b/>
          <w:sz w:val="24"/>
          <w:szCs w:val="24"/>
        </w:rPr>
      </w:pPr>
    </w:p>
    <w:p w:rsidR="00A618E4" w:rsidRDefault="00A618E4" w:rsidP="00A050F7">
      <w:pPr>
        <w:spacing w:after="0" w:line="240" w:lineRule="auto"/>
        <w:jc w:val="both"/>
        <w:rPr>
          <w:rFonts w:ascii="Times New Roman" w:hAnsi="Times New Roman"/>
          <w:b/>
          <w:sz w:val="24"/>
          <w:szCs w:val="24"/>
        </w:rPr>
      </w:pPr>
    </w:p>
    <w:p w:rsidR="005943CF" w:rsidRPr="00D617CC" w:rsidRDefault="005943CF" w:rsidP="00A050F7">
      <w:pPr>
        <w:spacing w:after="0" w:line="240" w:lineRule="auto"/>
        <w:jc w:val="both"/>
        <w:rPr>
          <w:rFonts w:ascii="Times New Roman" w:hAnsi="Times New Roman"/>
          <w:b/>
          <w:sz w:val="24"/>
          <w:szCs w:val="24"/>
        </w:rPr>
      </w:pPr>
      <w:r w:rsidRPr="00D617CC">
        <w:rPr>
          <w:rFonts w:ascii="Times New Roman" w:hAnsi="Times New Roman"/>
          <w:b/>
          <w:sz w:val="24"/>
          <w:szCs w:val="24"/>
        </w:rPr>
        <w:lastRenderedPageBreak/>
        <w:t xml:space="preserve">Pentru considerentele de mai sus, am elaborat proiectul de Hotărâre a Guvernului pentru aprobarea </w:t>
      </w:r>
      <w:r w:rsidR="00A050F7" w:rsidRPr="00D617CC">
        <w:rPr>
          <w:rFonts w:ascii="Times New Roman" w:hAnsi="Times New Roman" w:cs="Times New Roman"/>
          <w:b/>
          <w:sz w:val="24"/>
          <w:szCs w:val="24"/>
        </w:rPr>
        <w:t>scoaterii definitive din fondul forestier naţional, fără compensare, de către Societatea Complexul Energetic Oltenia S</w:t>
      </w:r>
      <w:r w:rsidR="00A618E4">
        <w:rPr>
          <w:rFonts w:ascii="Times New Roman" w:hAnsi="Times New Roman" w:cs="Times New Roman"/>
          <w:b/>
          <w:sz w:val="24"/>
          <w:szCs w:val="24"/>
        </w:rPr>
        <w:t>A a terenului în suprafaţă de 28,5663</w:t>
      </w:r>
      <w:r w:rsidR="00A050F7" w:rsidRPr="00D617CC">
        <w:rPr>
          <w:rFonts w:ascii="Times New Roman" w:hAnsi="Times New Roman" w:cs="Times New Roman"/>
          <w:b/>
          <w:sz w:val="24"/>
          <w:szCs w:val="24"/>
        </w:rPr>
        <w:t xml:space="preserve"> ha, în vederea realizării obiectivului </w:t>
      </w:r>
      <w:r w:rsidR="00A050F7" w:rsidRPr="00D617CC">
        <w:rPr>
          <w:rFonts w:ascii="Times New Roman" w:hAnsi="Times New Roman" w:cs="Times New Roman"/>
          <w:b/>
          <w:bCs/>
          <w:sz w:val="24"/>
          <w:szCs w:val="24"/>
        </w:rPr>
        <w:t>„</w:t>
      </w:r>
      <w:r w:rsidR="006531C3">
        <w:rPr>
          <w:rFonts w:ascii="Times New Roman" w:hAnsi="Times New Roman" w:cs="Times New Roman"/>
          <w:b/>
          <w:bCs/>
          <w:sz w:val="24"/>
          <w:szCs w:val="24"/>
        </w:rPr>
        <w:t>Lucrări pentru punerea în funcțiune a capacității finale de producție de 8.500 mii tone/an lignit la Cariera Jilț Sud</w:t>
      </w:r>
      <w:r w:rsidR="00A050F7" w:rsidRPr="00D617CC">
        <w:rPr>
          <w:rFonts w:ascii="Times New Roman" w:hAnsi="Times New Roman" w:cs="Times New Roman"/>
          <w:b/>
          <w:sz w:val="24"/>
          <w:szCs w:val="24"/>
        </w:rPr>
        <w:t xml:space="preserve">”, </w:t>
      </w:r>
      <w:r w:rsidRPr="00D617CC">
        <w:rPr>
          <w:rFonts w:ascii="Times New Roman" w:hAnsi="Times New Roman"/>
          <w:b/>
          <w:sz w:val="24"/>
          <w:szCs w:val="24"/>
        </w:rPr>
        <w:t>care în forma prezentată a fost avizat de către ministerele interesate, pe care îl supunem spre adoptare.</w:t>
      </w:r>
    </w:p>
    <w:tbl>
      <w:tblPr>
        <w:tblW w:w="0" w:type="auto"/>
        <w:tblLook w:val="01E0"/>
      </w:tblPr>
      <w:tblGrid>
        <w:gridCol w:w="10476"/>
      </w:tblGrid>
      <w:tr w:rsidR="005943CF" w:rsidRPr="00B370B1" w:rsidTr="00C23EE4">
        <w:tc>
          <w:tcPr>
            <w:tcW w:w="10476" w:type="dxa"/>
          </w:tcPr>
          <w:p w:rsidR="005943CF" w:rsidRDefault="005943CF" w:rsidP="00C23EE4">
            <w:pPr>
              <w:spacing w:before="209" w:after="105"/>
              <w:jc w:val="center"/>
              <w:rPr>
                <w:rFonts w:ascii="Times New Roman" w:hAnsi="Times New Roman"/>
                <w:b/>
                <w:sz w:val="24"/>
                <w:szCs w:val="24"/>
              </w:rPr>
            </w:pPr>
          </w:p>
          <w:p w:rsidR="005943CF" w:rsidRPr="00B370B1" w:rsidRDefault="005943CF" w:rsidP="00C23EE4">
            <w:pPr>
              <w:spacing w:before="209" w:after="105"/>
              <w:jc w:val="center"/>
              <w:rPr>
                <w:rFonts w:ascii="Times New Roman" w:hAnsi="Times New Roman"/>
                <w:b/>
                <w:sz w:val="24"/>
                <w:szCs w:val="24"/>
              </w:rPr>
            </w:pPr>
            <w:r w:rsidRPr="00B370B1">
              <w:rPr>
                <w:rFonts w:ascii="Times New Roman" w:hAnsi="Times New Roman"/>
                <w:b/>
                <w:sz w:val="24"/>
                <w:szCs w:val="24"/>
              </w:rPr>
              <w:t>MINISTRUL</w:t>
            </w:r>
            <w:r w:rsidR="00E716B5">
              <w:rPr>
                <w:rFonts w:ascii="Times New Roman" w:hAnsi="Times New Roman"/>
                <w:b/>
                <w:sz w:val="24"/>
                <w:szCs w:val="24"/>
              </w:rPr>
              <w:t xml:space="preserve"> </w:t>
            </w:r>
            <w:r w:rsidRPr="00B370B1">
              <w:rPr>
                <w:rFonts w:ascii="Times New Roman" w:hAnsi="Times New Roman"/>
                <w:b/>
                <w:sz w:val="24"/>
                <w:szCs w:val="24"/>
              </w:rPr>
              <w:t>APELOR ŞI PĂDURILOR</w:t>
            </w:r>
          </w:p>
        </w:tc>
      </w:tr>
      <w:tr w:rsidR="005943CF" w:rsidRPr="00B370B1" w:rsidTr="00C23EE4">
        <w:tc>
          <w:tcPr>
            <w:tcW w:w="10476" w:type="dxa"/>
          </w:tcPr>
          <w:p w:rsidR="005943CF" w:rsidRPr="00AC6B6D" w:rsidRDefault="005943CF" w:rsidP="00C23EE4">
            <w:pPr>
              <w:spacing w:before="209" w:after="105"/>
              <w:jc w:val="center"/>
              <w:rPr>
                <w:rFonts w:ascii="Times New Roman" w:hAnsi="Times New Roman"/>
                <w:b/>
                <w:sz w:val="24"/>
                <w:szCs w:val="24"/>
              </w:rPr>
            </w:pPr>
            <w:r w:rsidRPr="00AC6B6D">
              <w:rPr>
                <w:rFonts w:ascii="Times New Roman" w:hAnsi="Times New Roman"/>
                <w:b/>
                <w:sz w:val="24"/>
                <w:szCs w:val="24"/>
              </w:rPr>
              <w:t>Ioan DENEȘ</w:t>
            </w:r>
          </w:p>
          <w:p w:rsidR="005943CF" w:rsidRPr="00AC6B6D" w:rsidRDefault="005943CF" w:rsidP="00C23EE4">
            <w:pPr>
              <w:spacing w:before="209" w:after="105"/>
              <w:jc w:val="center"/>
              <w:rPr>
                <w:rFonts w:ascii="Times New Roman" w:hAnsi="Times New Roman"/>
                <w:b/>
                <w:sz w:val="24"/>
                <w:szCs w:val="24"/>
              </w:rPr>
            </w:pPr>
          </w:p>
          <w:p w:rsidR="005943CF" w:rsidRPr="00B370B1" w:rsidRDefault="005943CF" w:rsidP="00C23EE4">
            <w:pPr>
              <w:spacing w:before="209" w:after="105"/>
              <w:jc w:val="center"/>
              <w:rPr>
                <w:rFonts w:ascii="Times New Roman" w:hAnsi="Times New Roman"/>
                <w:b/>
                <w:sz w:val="24"/>
                <w:szCs w:val="24"/>
              </w:rPr>
            </w:pPr>
          </w:p>
        </w:tc>
      </w:tr>
    </w:tbl>
    <w:p w:rsidR="005943CF" w:rsidRPr="00B370B1" w:rsidRDefault="005943CF" w:rsidP="005943CF">
      <w:pPr>
        <w:jc w:val="center"/>
        <w:rPr>
          <w:rFonts w:ascii="Times New Roman" w:hAnsi="Times New Roman"/>
          <w:b/>
          <w:sz w:val="24"/>
          <w:szCs w:val="24"/>
        </w:rPr>
      </w:pPr>
    </w:p>
    <w:p w:rsidR="005943CF" w:rsidRPr="00EC3F30" w:rsidRDefault="005943CF" w:rsidP="005943CF">
      <w:pPr>
        <w:tabs>
          <w:tab w:val="left" w:pos="1276"/>
          <w:tab w:val="left" w:pos="4140"/>
        </w:tabs>
        <w:jc w:val="center"/>
        <w:rPr>
          <w:rFonts w:ascii="Times New Roman" w:hAnsi="Times New Roman"/>
          <w:b/>
          <w:sz w:val="24"/>
          <w:szCs w:val="24"/>
          <w:u w:val="single"/>
        </w:rPr>
      </w:pPr>
      <w:r w:rsidRPr="00EC3F30">
        <w:rPr>
          <w:rFonts w:ascii="Times New Roman" w:hAnsi="Times New Roman"/>
          <w:b/>
          <w:sz w:val="24"/>
          <w:szCs w:val="24"/>
          <w:u w:val="single"/>
        </w:rPr>
        <w:t>Avizăm favorabil:</w:t>
      </w:r>
    </w:p>
    <w:p w:rsidR="005943CF" w:rsidRDefault="005943CF" w:rsidP="005943CF">
      <w:pPr>
        <w:tabs>
          <w:tab w:val="left" w:pos="1276"/>
          <w:tab w:val="left" w:pos="4140"/>
        </w:tabs>
        <w:jc w:val="center"/>
        <w:rPr>
          <w:rFonts w:ascii="Times New Roman" w:hAnsi="Times New Roman"/>
          <w:b/>
          <w:sz w:val="24"/>
          <w:szCs w:val="24"/>
        </w:rPr>
      </w:pPr>
    </w:p>
    <w:p w:rsidR="005943CF" w:rsidRPr="00896AA6" w:rsidRDefault="005943CF" w:rsidP="005943CF">
      <w:pPr>
        <w:tabs>
          <w:tab w:val="left" w:pos="1276"/>
          <w:tab w:val="left" w:pos="4140"/>
        </w:tabs>
        <w:jc w:val="center"/>
        <w:rPr>
          <w:rFonts w:ascii="Times New Roman" w:hAnsi="Times New Roman"/>
          <w:b/>
          <w:sz w:val="24"/>
          <w:szCs w:val="24"/>
        </w:rPr>
      </w:pPr>
    </w:p>
    <w:p w:rsidR="005943CF" w:rsidRPr="00DA3440" w:rsidRDefault="005943CF" w:rsidP="00952621">
      <w:pPr>
        <w:spacing w:after="600" w:line="360" w:lineRule="auto"/>
        <w:ind w:right="-232" w:firstLine="708"/>
        <w:rPr>
          <w:rFonts w:ascii="Times New Roman" w:hAnsi="Times New Roman"/>
          <w:b/>
          <w:sz w:val="24"/>
          <w:szCs w:val="24"/>
        </w:rPr>
      </w:pPr>
      <w:r w:rsidRPr="00DA3440">
        <w:rPr>
          <w:rFonts w:ascii="Times New Roman" w:hAnsi="Times New Roman"/>
          <w:b/>
          <w:sz w:val="24"/>
          <w:szCs w:val="24"/>
        </w:rPr>
        <w:t>MINISTRUL ENERGIEI</w:t>
      </w:r>
      <w:r w:rsidRPr="00DA3440">
        <w:rPr>
          <w:rFonts w:ascii="Times New Roman" w:hAnsi="Times New Roman"/>
          <w:b/>
          <w:sz w:val="24"/>
          <w:szCs w:val="24"/>
        </w:rPr>
        <w:tab/>
      </w:r>
      <w:r w:rsidRPr="00DA3440">
        <w:rPr>
          <w:rFonts w:ascii="Times New Roman" w:hAnsi="Times New Roman"/>
          <w:b/>
          <w:sz w:val="24"/>
          <w:szCs w:val="24"/>
        </w:rPr>
        <w:tab/>
        <w:t xml:space="preserve">      VICEPRIM-MINISTRU, MINISTRUL MEDIULUI</w:t>
      </w:r>
    </w:p>
    <w:p w:rsidR="005943CF" w:rsidRPr="00DA3440" w:rsidRDefault="009F5FA9" w:rsidP="008C5E63">
      <w:pPr>
        <w:spacing w:after="600" w:line="360" w:lineRule="auto"/>
        <w:ind w:right="-232"/>
        <w:rPr>
          <w:rFonts w:ascii="Times New Roman" w:hAnsi="Times New Roman"/>
          <w:b/>
          <w:sz w:val="24"/>
          <w:szCs w:val="24"/>
        </w:rPr>
      </w:pPr>
      <w:r>
        <w:rPr>
          <w:rFonts w:ascii="Times New Roman" w:hAnsi="Times New Roman"/>
          <w:b/>
          <w:sz w:val="24"/>
          <w:szCs w:val="24"/>
        </w:rPr>
        <w:t xml:space="preserve">  </w:t>
      </w:r>
      <w:r w:rsidR="00A618E4">
        <w:rPr>
          <w:rFonts w:ascii="Times New Roman" w:hAnsi="Times New Roman"/>
          <w:b/>
          <w:sz w:val="24"/>
          <w:szCs w:val="24"/>
        </w:rPr>
        <w:t xml:space="preserve">    </w:t>
      </w:r>
      <w:r w:rsidR="00952621">
        <w:rPr>
          <w:rFonts w:ascii="Times New Roman" w:hAnsi="Times New Roman"/>
          <w:b/>
          <w:sz w:val="24"/>
          <w:szCs w:val="24"/>
        </w:rPr>
        <w:tab/>
        <w:t xml:space="preserve">       </w:t>
      </w:r>
      <w:r>
        <w:rPr>
          <w:rFonts w:ascii="Times New Roman" w:hAnsi="Times New Roman"/>
          <w:b/>
          <w:sz w:val="24"/>
          <w:szCs w:val="24"/>
        </w:rPr>
        <w:t>Anton ANTON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52621">
        <w:rPr>
          <w:rFonts w:ascii="Times New Roman" w:hAnsi="Times New Roman"/>
          <w:b/>
          <w:sz w:val="24"/>
          <w:szCs w:val="24"/>
        </w:rPr>
        <w:t xml:space="preserve">        </w:t>
      </w:r>
      <w:r w:rsidR="005943CF" w:rsidRPr="00DA3440">
        <w:rPr>
          <w:rFonts w:ascii="Times New Roman" w:hAnsi="Times New Roman"/>
          <w:b/>
          <w:sz w:val="24"/>
          <w:szCs w:val="24"/>
        </w:rPr>
        <w:t>Grațiela Leocadia GAVRILESCU</w:t>
      </w:r>
    </w:p>
    <w:p w:rsidR="005943CF" w:rsidRDefault="005943CF" w:rsidP="008C5E63">
      <w:pPr>
        <w:spacing w:line="360" w:lineRule="auto"/>
        <w:rPr>
          <w:rFonts w:ascii="Times New Roman" w:hAnsi="Times New Roman"/>
          <w:b/>
          <w:sz w:val="24"/>
          <w:szCs w:val="24"/>
        </w:rPr>
      </w:pPr>
      <w:r w:rsidRPr="00DA3440">
        <w:rPr>
          <w:rFonts w:ascii="Times New Roman" w:hAnsi="Times New Roman"/>
          <w:b/>
          <w:sz w:val="24"/>
          <w:szCs w:val="24"/>
        </w:rPr>
        <w:tab/>
      </w:r>
      <w:r w:rsidRPr="00DA3440">
        <w:rPr>
          <w:rFonts w:ascii="Times New Roman" w:hAnsi="Times New Roman"/>
          <w:b/>
          <w:sz w:val="24"/>
          <w:szCs w:val="24"/>
        </w:rPr>
        <w:tab/>
      </w:r>
      <w:r w:rsidRPr="00DA3440">
        <w:rPr>
          <w:rFonts w:ascii="Times New Roman" w:hAnsi="Times New Roman"/>
          <w:b/>
          <w:sz w:val="24"/>
          <w:szCs w:val="24"/>
        </w:rPr>
        <w:tab/>
      </w:r>
    </w:p>
    <w:p w:rsidR="008C5E63" w:rsidRPr="00DA3440" w:rsidRDefault="008C5E63" w:rsidP="005943CF">
      <w:pPr>
        <w:spacing w:line="360" w:lineRule="auto"/>
        <w:ind w:left="-567"/>
        <w:rPr>
          <w:rFonts w:ascii="Times New Roman" w:hAnsi="Times New Roman"/>
          <w:b/>
          <w:sz w:val="24"/>
          <w:szCs w:val="24"/>
        </w:rPr>
      </w:pPr>
    </w:p>
    <w:p w:rsidR="005943CF" w:rsidRPr="00DA3440" w:rsidRDefault="00952621" w:rsidP="00952621">
      <w:pPr>
        <w:spacing w:after="600" w:line="360" w:lineRule="auto"/>
        <w:ind w:left="-567" w:firstLine="567"/>
        <w:rPr>
          <w:rFonts w:ascii="Times New Roman" w:hAnsi="Times New Roman"/>
          <w:b/>
          <w:sz w:val="24"/>
          <w:szCs w:val="24"/>
        </w:rPr>
      </w:pPr>
      <w:r>
        <w:rPr>
          <w:rFonts w:ascii="Times New Roman" w:hAnsi="Times New Roman"/>
          <w:b/>
          <w:sz w:val="24"/>
          <w:szCs w:val="24"/>
        </w:rPr>
        <w:t xml:space="preserve"> MINISTRUL FINANȚELOR PUBLICE</w:t>
      </w:r>
      <w:r>
        <w:rPr>
          <w:rFonts w:ascii="Times New Roman" w:hAnsi="Times New Roman"/>
          <w:b/>
          <w:sz w:val="24"/>
          <w:szCs w:val="24"/>
        </w:rPr>
        <w:tab/>
      </w:r>
      <w:r>
        <w:rPr>
          <w:rFonts w:ascii="Times New Roman" w:hAnsi="Times New Roman"/>
          <w:b/>
          <w:sz w:val="24"/>
          <w:szCs w:val="24"/>
        </w:rPr>
        <w:tab/>
        <w:t xml:space="preserve">     </w:t>
      </w:r>
      <w:r w:rsidR="004F6833">
        <w:rPr>
          <w:rFonts w:ascii="Times New Roman" w:hAnsi="Times New Roman"/>
          <w:b/>
          <w:sz w:val="24"/>
          <w:szCs w:val="24"/>
        </w:rPr>
        <w:t>MINISTRUL JUSTIȚ</w:t>
      </w:r>
      <w:r w:rsidR="005943CF" w:rsidRPr="00DA3440">
        <w:rPr>
          <w:rFonts w:ascii="Times New Roman" w:hAnsi="Times New Roman"/>
          <w:b/>
          <w:sz w:val="24"/>
          <w:szCs w:val="24"/>
        </w:rPr>
        <w:t>IEI</w:t>
      </w:r>
      <w:r w:rsidR="00CD11F0">
        <w:rPr>
          <w:rFonts w:ascii="Times New Roman" w:hAnsi="Times New Roman"/>
          <w:b/>
          <w:sz w:val="24"/>
          <w:szCs w:val="24"/>
        </w:rPr>
        <w:t>, INTERIMAR</w:t>
      </w:r>
    </w:p>
    <w:p w:rsidR="005943CF" w:rsidRPr="00DA3440" w:rsidRDefault="00A618E4" w:rsidP="008C5E63">
      <w:pPr>
        <w:spacing w:after="600" w:line="360" w:lineRule="auto"/>
        <w:ind w:left="-567"/>
        <w:rPr>
          <w:rFonts w:ascii="Times New Roman" w:hAnsi="Times New Roman"/>
          <w:b/>
          <w:sz w:val="24"/>
          <w:szCs w:val="24"/>
        </w:rPr>
      </w:pPr>
      <w:r>
        <w:rPr>
          <w:rFonts w:ascii="Times New Roman" w:hAnsi="Times New Roman"/>
          <w:b/>
          <w:sz w:val="24"/>
          <w:szCs w:val="24"/>
        </w:rPr>
        <w:t xml:space="preserve">     </w:t>
      </w:r>
      <w:r w:rsidR="00952621">
        <w:rPr>
          <w:rFonts w:ascii="Times New Roman" w:hAnsi="Times New Roman"/>
          <w:b/>
          <w:sz w:val="24"/>
          <w:szCs w:val="24"/>
        </w:rPr>
        <w:t xml:space="preserve">            </w:t>
      </w:r>
      <w:r w:rsidR="005943CF" w:rsidRPr="00DA3440">
        <w:rPr>
          <w:rFonts w:ascii="Times New Roman" w:hAnsi="Times New Roman"/>
          <w:b/>
          <w:sz w:val="24"/>
          <w:szCs w:val="24"/>
        </w:rPr>
        <w:t>Eu</w:t>
      </w:r>
      <w:r w:rsidR="00952621">
        <w:rPr>
          <w:rFonts w:ascii="Times New Roman" w:hAnsi="Times New Roman"/>
          <w:b/>
          <w:sz w:val="24"/>
          <w:szCs w:val="24"/>
        </w:rPr>
        <w:t xml:space="preserve">gen Orlando </w:t>
      </w:r>
      <w:r w:rsidR="009F5FA9">
        <w:rPr>
          <w:rFonts w:ascii="Times New Roman" w:hAnsi="Times New Roman"/>
          <w:b/>
          <w:sz w:val="24"/>
          <w:szCs w:val="24"/>
        </w:rPr>
        <w:t>TEODOROVICI</w:t>
      </w:r>
      <w:r w:rsidR="009F5FA9">
        <w:rPr>
          <w:rFonts w:ascii="Times New Roman" w:hAnsi="Times New Roman"/>
          <w:b/>
          <w:sz w:val="24"/>
          <w:szCs w:val="24"/>
        </w:rPr>
        <w:tab/>
      </w:r>
      <w:r w:rsidR="009F5FA9">
        <w:rPr>
          <w:rFonts w:ascii="Times New Roman" w:hAnsi="Times New Roman"/>
          <w:b/>
          <w:sz w:val="24"/>
          <w:szCs w:val="24"/>
        </w:rPr>
        <w:tab/>
      </w:r>
      <w:r w:rsidR="009F5FA9">
        <w:rPr>
          <w:rFonts w:ascii="Times New Roman" w:hAnsi="Times New Roman"/>
          <w:b/>
          <w:sz w:val="24"/>
          <w:szCs w:val="24"/>
        </w:rPr>
        <w:tab/>
      </w:r>
      <w:r w:rsidR="00952621">
        <w:rPr>
          <w:rFonts w:ascii="Times New Roman" w:hAnsi="Times New Roman"/>
          <w:b/>
          <w:sz w:val="24"/>
          <w:szCs w:val="24"/>
        </w:rPr>
        <w:t xml:space="preserve">            A</w:t>
      </w:r>
      <w:r w:rsidR="00CD11F0">
        <w:rPr>
          <w:rFonts w:ascii="Times New Roman" w:hAnsi="Times New Roman"/>
          <w:b/>
          <w:sz w:val="24"/>
          <w:szCs w:val="24"/>
        </w:rPr>
        <w:t>na BIRCHALL</w:t>
      </w:r>
    </w:p>
    <w:p w:rsidR="005943CF" w:rsidRDefault="005943CF"/>
    <w:sectPr w:rsidR="005943CF" w:rsidSect="00081769">
      <w:pgSz w:w="12240" w:h="15840"/>
      <w:pgMar w:top="540" w:right="5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D82A7A"/>
    <w:rsid w:val="0001197E"/>
    <w:rsid w:val="000145F2"/>
    <w:rsid w:val="00047D9A"/>
    <w:rsid w:val="00081769"/>
    <w:rsid w:val="00091238"/>
    <w:rsid w:val="0009541B"/>
    <w:rsid w:val="000B28F6"/>
    <w:rsid w:val="000B4DCF"/>
    <w:rsid w:val="000F0918"/>
    <w:rsid w:val="000F0C2F"/>
    <w:rsid w:val="00106118"/>
    <w:rsid w:val="00113BF9"/>
    <w:rsid w:val="00133AC9"/>
    <w:rsid w:val="001628F8"/>
    <w:rsid w:val="00175E1B"/>
    <w:rsid w:val="00184865"/>
    <w:rsid w:val="001941D8"/>
    <w:rsid w:val="00195A98"/>
    <w:rsid w:val="001B69CF"/>
    <w:rsid w:val="001D1EB9"/>
    <w:rsid w:val="001D61E8"/>
    <w:rsid w:val="001D7DD2"/>
    <w:rsid w:val="001E781F"/>
    <w:rsid w:val="001E7B19"/>
    <w:rsid w:val="002143AB"/>
    <w:rsid w:val="00220C8E"/>
    <w:rsid w:val="00227027"/>
    <w:rsid w:val="00236FBF"/>
    <w:rsid w:val="00240472"/>
    <w:rsid w:val="002643A8"/>
    <w:rsid w:val="002719DD"/>
    <w:rsid w:val="0029103A"/>
    <w:rsid w:val="002D6183"/>
    <w:rsid w:val="002F3AFE"/>
    <w:rsid w:val="002F4728"/>
    <w:rsid w:val="002F6085"/>
    <w:rsid w:val="00301BC8"/>
    <w:rsid w:val="0031366E"/>
    <w:rsid w:val="003215C1"/>
    <w:rsid w:val="0034476B"/>
    <w:rsid w:val="00351C3E"/>
    <w:rsid w:val="00355196"/>
    <w:rsid w:val="00357BEE"/>
    <w:rsid w:val="00372AA9"/>
    <w:rsid w:val="0037504C"/>
    <w:rsid w:val="00377358"/>
    <w:rsid w:val="00384876"/>
    <w:rsid w:val="003870D8"/>
    <w:rsid w:val="003A3264"/>
    <w:rsid w:val="003B2848"/>
    <w:rsid w:val="003B4E2C"/>
    <w:rsid w:val="003E05CD"/>
    <w:rsid w:val="003E3E75"/>
    <w:rsid w:val="003F066C"/>
    <w:rsid w:val="00414792"/>
    <w:rsid w:val="00415E01"/>
    <w:rsid w:val="00437313"/>
    <w:rsid w:val="0044017B"/>
    <w:rsid w:val="00461AB1"/>
    <w:rsid w:val="0047258D"/>
    <w:rsid w:val="004A5D36"/>
    <w:rsid w:val="004C3EF0"/>
    <w:rsid w:val="004D105E"/>
    <w:rsid w:val="004E32A9"/>
    <w:rsid w:val="004F63BF"/>
    <w:rsid w:val="004F6833"/>
    <w:rsid w:val="004F7DEC"/>
    <w:rsid w:val="00504014"/>
    <w:rsid w:val="00531335"/>
    <w:rsid w:val="00531AC7"/>
    <w:rsid w:val="00536929"/>
    <w:rsid w:val="0055107C"/>
    <w:rsid w:val="005755B8"/>
    <w:rsid w:val="005820CD"/>
    <w:rsid w:val="00591C61"/>
    <w:rsid w:val="005943CF"/>
    <w:rsid w:val="005C0BEB"/>
    <w:rsid w:val="005D136C"/>
    <w:rsid w:val="00601D43"/>
    <w:rsid w:val="00606052"/>
    <w:rsid w:val="006076CC"/>
    <w:rsid w:val="0062206B"/>
    <w:rsid w:val="006324A9"/>
    <w:rsid w:val="006522FD"/>
    <w:rsid w:val="006531C3"/>
    <w:rsid w:val="00664D78"/>
    <w:rsid w:val="00683A4B"/>
    <w:rsid w:val="00686715"/>
    <w:rsid w:val="00686BD3"/>
    <w:rsid w:val="006975F4"/>
    <w:rsid w:val="006A4694"/>
    <w:rsid w:val="006D3FF2"/>
    <w:rsid w:val="006D6946"/>
    <w:rsid w:val="00703266"/>
    <w:rsid w:val="00710AC4"/>
    <w:rsid w:val="00715BF6"/>
    <w:rsid w:val="0071721A"/>
    <w:rsid w:val="0073488A"/>
    <w:rsid w:val="0074493C"/>
    <w:rsid w:val="00750363"/>
    <w:rsid w:val="007510A4"/>
    <w:rsid w:val="00751DC5"/>
    <w:rsid w:val="00761C37"/>
    <w:rsid w:val="007649B4"/>
    <w:rsid w:val="00776F94"/>
    <w:rsid w:val="007820FC"/>
    <w:rsid w:val="00792E7F"/>
    <w:rsid w:val="0079454A"/>
    <w:rsid w:val="007A5D12"/>
    <w:rsid w:val="007C1AA6"/>
    <w:rsid w:val="007C1E96"/>
    <w:rsid w:val="007C7403"/>
    <w:rsid w:val="007E584D"/>
    <w:rsid w:val="007F7B89"/>
    <w:rsid w:val="00804200"/>
    <w:rsid w:val="00804AC9"/>
    <w:rsid w:val="008277B1"/>
    <w:rsid w:val="00833FD1"/>
    <w:rsid w:val="0084312D"/>
    <w:rsid w:val="00857E86"/>
    <w:rsid w:val="008642E8"/>
    <w:rsid w:val="00872743"/>
    <w:rsid w:val="00876656"/>
    <w:rsid w:val="00883695"/>
    <w:rsid w:val="00886539"/>
    <w:rsid w:val="00896A04"/>
    <w:rsid w:val="008B12A9"/>
    <w:rsid w:val="008B6A62"/>
    <w:rsid w:val="008B7A8E"/>
    <w:rsid w:val="008C467C"/>
    <w:rsid w:val="008C5E63"/>
    <w:rsid w:val="008D0902"/>
    <w:rsid w:val="008D2F19"/>
    <w:rsid w:val="008D7940"/>
    <w:rsid w:val="008E04CE"/>
    <w:rsid w:val="008E0D1A"/>
    <w:rsid w:val="008F1428"/>
    <w:rsid w:val="008F194C"/>
    <w:rsid w:val="008F44BF"/>
    <w:rsid w:val="00941290"/>
    <w:rsid w:val="00952621"/>
    <w:rsid w:val="00973794"/>
    <w:rsid w:val="009A4DF6"/>
    <w:rsid w:val="009B2424"/>
    <w:rsid w:val="009C5EC1"/>
    <w:rsid w:val="009D1BD0"/>
    <w:rsid w:val="009D59AC"/>
    <w:rsid w:val="009D74E9"/>
    <w:rsid w:val="009F5FA9"/>
    <w:rsid w:val="00A000E6"/>
    <w:rsid w:val="00A050F7"/>
    <w:rsid w:val="00A05A8B"/>
    <w:rsid w:val="00A10ED3"/>
    <w:rsid w:val="00A17F8E"/>
    <w:rsid w:val="00A27C32"/>
    <w:rsid w:val="00A404F9"/>
    <w:rsid w:val="00A41EE5"/>
    <w:rsid w:val="00A569B4"/>
    <w:rsid w:val="00A618E4"/>
    <w:rsid w:val="00A768BE"/>
    <w:rsid w:val="00A76A0B"/>
    <w:rsid w:val="00A91A30"/>
    <w:rsid w:val="00A91D82"/>
    <w:rsid w:val="00AA3680"/>
    <w:rsid w:val="00AA5AFC"/>
    <w:rsid w:val="00AD358F"/>
    <w:rsid w:val="00AE0EF9"/>
    <w:rsid w:val="00AE4611"/>
    <w:rsid w:val="00AF2BDE"/>
    <w:rsid w:val="00B02449"/>
    <w:rsid w:val="00B3469F"/>
    <w:rsid w:val="00B34D93"/>
    <w:rsid w:val="00B43015"/>
    <w:rsid w:val="00B45560"/>
    <w:rsid w:val="00B56C7C"/>
    <w:rsid w:val="00BA3F82"/>
    <w:rsid w:val="00BB1E05"/>
    <w:rsid w:val="00BB7A6D"/>
    <w:rsid w:val="00BC489C"/>
    <w:rsid w:val="00BC6561"/>
    <w:rsid w:val="00C00690"/>
    <w:rsid w:val="00C05122"/>
    <w:rsid w:val="00C34032"/>
    <w:rsid w:val="00C441AE"/>
    <w:rsid w:val="00C50AAC"/>
    <w:rsid w:val="00C53A53"/>
    <w:rsid w:val="00CA7D49"/>
    <w:rsid w:val="00CB59D6"/>
    <w:rsid w:val="00CC2204"/>
    <w:rsid w:val="00CC4305"/>
    <w:rsid w:val="00CD11F0"/>
    <w:rsid w:val="00CE1393"/>
    <w:rsid w:val="00CE1CF5"/>
    <w:rsid w:val="00CE5974"/>
    <w:rsid w:val="00CE629E"/>
    <w:rsid w:val="00CF2804"/>
    <w:rsid w:val="00CF7AAC"/>
    <w:rsid w:val="00D120A8"/>
    <w:rsid w:val="00D1265B"/>
    <w:rsid w:val="00D23509"/>
    <w:rsid w:val="00D37F7E"/>
    <w:rsid w:val="00D617CC"/>
    <w:rsid w:val="00D61A43"/>
    <w:rsid w:val="00D66106"/>
    <w:rsid w:val="00D82A7A"/>
    <w:rsid w:val="00DB5A32"/>
    <w:rsid w:val="00DB6DA3"/>
    <w:rsid w:val="00DC0941"/>
    <w:rsid w:val="00DC1480"/>
    <w:rsid w:val="00DC5E92"/>
    <w:rsid w:val="00DD22D5"/>
    <w:rsid w:val="00DF1A6B"/>
    <w:rsid w:val="00E00013"/>
    <w:rsid w:val="00E11E5C"/>
    <w:rsid w:val="00E405AE"/>
    <w:rsid w:val="00E461A9"/>
    <w:rsid w:val="00E55E22"/>
    <w:rsid w:val="00E716B5"/>
    <w:rsid w:val="00E82FC0"/>
    <w:rsid w:val="00E9150A"/>
    <w:rsid w:val="00EA3C0D"/>
    <w:rsid w:val="00EA4D72"/>
    <w:rsid w:val="00EA72A6"/>
    <w:rsid w:val="00EB29B6"/>
    <w:rsid w:val="00EF0C95"/>
    <w:rsid w:val="00EF26D0"/>
    <w:rsid w:val="00EF4F5C"/>
    <w:rsid w:val="00F106D4"/>
    <w:rsid w:val="00F23BB0"/>
    <w:rsid w:val="00F336ED"/>
    <w:rsid w:val="00F64FED"/>
    <w:rsid w:val="00F66DC9"/>
    <w:rsid w:val="00F72B10"/>
    <w:rsid w:val="00F81230"/>
    <w:rsid w:val="00F96116"/>
    <w:rsid w:val="00FB23FC"/>
    <w:rsid w:val="00FB25A2"/>
    <w:rsid w:val="00FF1BA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 w:type="character" w:customStyle="1" w:styleId="do1">
    <w:name w:val="do1"/>
    <w:rsid w:val="0031366E"/>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42627" TargetMode="External"/><Relationship Id="rId5" Type="http://schemas.openxmlformats.org/officeDocument/2006/relationships/hyperlink" Target="http://legislatie.just.ro/Public/DetaliiDocumentAfis/1245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11</Pages>
  <Words>4043</Words>
  <Characters>23451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MEDIU</cp:lastModifiedBy>
  <cp:revision>62</cp:revision>
  <cp:lastPrinted>2019-05-14T10:20:00Z</cp:lastPrinted>
  <dcterms:created xsi:type="dcterms:W3CDTF">2018-08-09T05:46:00Z</dcterms:created>
  <dcterms:modified xsi:type="dcterms:W3CDTF">2019-05-15T07:51:00Z</dcterms:modified>
</cp:coreProperties>
</file>