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D" w:rsidRPr="00E03359" w:rsidRDefault="0030310D" w:rsidP="00043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8D61DC" w:rsidRDefault="00007ACF" w:rsidP="008D6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8D61DC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ANEXĂ</w:t>
      </w:r>
    </w:p>
    <w:p w:rsidR="00BC279C" w:rsidRPr="00E03359" w:rsidRDefault="00BC279C" w:rsidP="008D6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( Anexă la Hotărârea Guvernului</w:t>
      </w:r>
      <w:r w:rsidR="000A04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964/200</w:t>
      </w:r>
      <w:r w:rsidR="00DA7942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</w:t>
      </w:r>
    </w:p>
    <w:p w:rsidR="008D61DC" w:rsidRPr="00E03359" w:rsidRDefault="008D61DC" w:rsidP="00007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8D61DC" w:rsidRPr="00E03359" w:rsidRDefault="008D61DC" w:rsidP="00007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07ACF" w:rsidRPr="00E03359" w:rsidRDefault="004C173F" w:rsidP="00007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hyperlink r:id="rId8" w:history="1">
        <w:r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pict>
            <v:shapetype id="_x0000_m1027" coordsize="21600,21600" o:spt="100" o:preferrelative="t" adj="0,,0" path="m@4@5l@4@11@9@11@9@5xe" filled="f" stroked="f">
              <v:stroke joinstyle="miter"/>
              <v:formulas/>
              <v:path o:connecttype="segments"/>
            </v:shapetype>
          </w:pict>
        </w:r>
      </w:hyperlink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PLAN DE ACŢIUNE pentru </w:t>
      </w:r>
      <w:r w:rsidR="00DA7942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protecția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apelor împotriva poluării cu nitrați proveniți din surse agricole</w:t>
      </w:r>
    </w:p>
    <w:p w:rsidR="00325E55" w:rsidRPr="00E03359" w:rsidRDefault="00325E55" w:rsidP="00853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9655B8" w:rsidRPr="00E03359" w:rsidRDefault="00CB0AD6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</w:t>
      </w:r>
      <w:r w:rsidR="009655B8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.1 </w:t>
      </w:r>
    </w:p>
    <w:p w:rsidR="00007ACF" w:rsidRPr="00E03359" w:rsidRDefault="0091111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Obiectivul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Planului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protecţia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 împotriva poluării cu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nitraţi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proveniţi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surse agricole, denumit în continuare P</w:t>
      </w:r>
      <w:r w:rsidR="00684BC6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lan de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este de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do|ax1|ar1|lia"/>
      <w:bookmarkEnd w:id="0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a)</w:t>
      </w:r>
      <w:r w:rsidR="00684BC6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reduce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poluarea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provocată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indusă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nitraţii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proveniţi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agricole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AC1690" w:rsidRPr="00E03359" w:rsidRDefault="00007ACF" w:rsidP="007C29E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1" w:name="do|ax1|ar1|lib"/>
      <w:bookmarkEnd w:id="1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b</w:t>
      </w:r>
      <w:bookmarkStart w:id="2" w:name="do|ax1|ar1|lic"/>
      <w:bookmarkEnd w:id="2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nouă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poluare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acest</w:t>
      </w:r>
      <w:proofErr w:type="spellEnd"/>
      <w:r w:rsidR="00684BC6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tip</w:t>
      </w:r>
      <w:r w:rsidR="0019404B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007ACF" w:rsidRPr="00E03359" w:rsidRDefault="009655B8" w:rsidP="00DB54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CB0AD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Art.</w:t>
      </w:r>
      <w:r w:rsidR="00EC65F1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  <w:r w:rsidR="00076EDD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. </w:t>
      </w:r>
    </w:p>
    <w:p w:rsidR="00007ACF" w:rsidRPr="00E03359" w:rsidRDefault="00007ACF" w:rsidP="00DB5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" w:name="do|ax1|ar2|pa1"/>
      <w:bookmarkEnd w:id="3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Terme</w:t>
      </w:r>
      <w:r w:rsidR="00CD260E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nii </w:t>
      </w:r>
      <w:proofErr w:type="spellStart"/>
      <w:r w:rsidR="00CD260E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CD260E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expresiile utilizate în P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lanul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definesc după cum urmează:</w:t>
      </w:r>
    </w:p>
    <w:p w:rsidR="00007ACF" w:rsidRPr="00E03359" w:rsidRDefault="00007ACF" w:rsidP="00DB5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" w:name="do|ax1|ar2|lia"/>
      <w:bookmarkEnd w:id="4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</w:t>
      </w:r>
      <w:r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)</w:t>
      </w:r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ape subterane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toate apele care se află sub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suprafaţa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terenului, în zone saturate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contact direct cu solul sau cu subsolul;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" w:name="do|ax1|ar2|lib"/>
      <w:bookmarkEnd w:id="5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b)</w:t>
      </w:r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apă dulce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apă cu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conţinut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scăzut de săruri, care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îndeplineşte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a fi captată, tratată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utilizată în scop potabil;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6" w:name="do|ax1|ar2|lic"/>
      <w:bookmarkEnd w:id="6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c)</w:t>
      </w:r>
      <w:proofErr w:type="spellStart"/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compuşi</w:t>
      </w:r>
      <w:proofErr w:type="spellEnd"/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ai azotului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orice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substanţe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conţinând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azot, cu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excepţia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azotului molecular;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7" w:name="do|ax1|ar2|lid"/>
      <w:bookmarkEnd w:id="7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d)</w:t>
      </w:r>
      <w:proofErr w:type="spellStart"/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şeptel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toat</w:t>
      </w:r>
      <w:r w:rsidR="008C7854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 animalele deținute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sau crescute pentru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folosinţă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sau profit;</w:t>
      </w:r>
      <w:bookmarkStart w:id="8" w:name="do|ax1|ar2|lie"/>
      <w:bookmarkEnd w:id="8"/>
    </w:p>
    <w:p w:rsidR="00007ACF" w:rsidRPr="00E03359" w:rsidRDefault="00007ACF" w:rsidP="00AC3A7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</w:t>
      </w:r>
      <w:r w:rsidR="00301891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proofErr w:type="spellStart"/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îngrăşământ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– </w:t>
      </w:r>
      <w:bookmarkStart w:id="9" w:name="do|ax1|ar2|lif"/>
      <w:bookmarkEnd w:id="9"/>
      <w:r w:rsidR="0030189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produs n</w:t>
      </w:r>
      <w:r w:rsidR="008C7854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atural sau de sinteză, de origine</w:t>
      </w:r>
      <w:r w:rsidR="0030189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minerală sau/și organică, simplu sau complex, care se aplică sub formă lichidă, semifluidă sau solidă în sol, la suprafață sau </w:t>
      </w:r>
      <w:proofErr w:type="spellStart"/>
      <w:r w:rsidR="0030189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foliar</w:t>
      </w:r>
      <w:proofErr w:type="spellEnd"/>
      <w:r w:rsidR="0030189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 scopul sporirii fertilității solului și asigurării unei dezvoltări și creșteri normale a plantelor</w:t>
      </w:r>
      <w:r w:rsidR="00301891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bookmarkStart w:id="10" w:name="do|ax1|ar2|lig"/>
      <w:bookmarkEnd w:id="10"/>
    </w:p>
    <w:p w:rsidR="00AC3A76" w:rsidRPr="00E03359" w:rsidRDefault="00AC3A76" w:rsidP="00AC3A7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f) </w:t>
      </w:r>
      <w:proofErr w:type="gramStart"/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îngrășământ</w:t>
      </w:r>
      <w:proofErr w:type="gramEnd"/>
      <w:r w:rsidRPr="00BC279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chimic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orice îngrășământ obținut printr-un proces industrial chimic</w:t>
      </w:r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07ACF" w:rsidRPr="00E03359" w:rsidRDefault="00971155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g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 </w:t>
      </w:r>
      <w:proofErr w:type="spellStart"/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îngrăşământ</w:t>
      </w:r>
      <w:proofErr w:type="spellEnd"/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 de o</w:t>
      </w:r>
      <w:r w:rsidR="008C7854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rigine animală</w:t>
      </w:r>
      <w:r w:rsidR="008C7854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produs secundar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excreţie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la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şeptel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sau de la păsări ori un amestec între acest produs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aşternutul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la animale;</w:t>
      </w:r>
    </w:p>
    <w:p w:rsidR="00007ACF" w:rsidRPr="00E03359" w:rsidRDefault="00971155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h</w:t>
      </w:r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)aplicare pe teren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administrarea pe teren a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îngrăşămintelor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prin diferite metode cum ar fi: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împrăştiere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la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suprafaţa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terenului, încorporare în sol prin îngropa</w:t>
      </w:r>
      <w:r w:rsidR="00AC3A76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re, prin amestecare cu solul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prin injectare în sol;</w:t>
      </w:r>
    </w:p>
    <w:p w:rsidR="00007ACF" w:rsidRPr="00E03359" w:rsidRDefault="00971155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 </w:t>
      </w:r>
      <w:proofErr w:type="spellStart"/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eutrofizare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îmbogăţirea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apelor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suprafaţă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cu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compuşi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ai azotului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fosforului, cauzând o dezvoltare accelerată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masivă a algelor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vegetaţiei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subacvatice, asociată cu deteriorarea echilibrului biologic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calităţii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apei;</w:t>
      </w:r>
    </w:p>
    <w:p w:rsidR="002A75ED" w:rsidRPr="00E03359" w:rsidRDefault="00971155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j</w:t>
      </w:r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) poluare cu </w:t>
      </w:r>
      <w:proofErr w:type="spellStart"/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nitraţi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descărcarea, directă sau indirectă, în apele subterane sau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suprafaţă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compuşi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ai azotului care provin din surse agricole, ale cărei urmări pot fi: afectarea stării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sănătăte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populației, afectarea organismelor vii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ecosistemelor acvatice,</w:t>
      </w:r>
      <w:r w:rsidR="002A75ED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limitarea folosințelor apei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2A75ED" w:rsidRPr="00E0335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:rsidR="00325E55" w:rsidRPr="00E03359" w:rsidRDefault="00971155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k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 </w:t>
      </w:r>
      <w:r w:rsidR="00007ACF" w:rsidRPr="00BC279C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>zonă vulnerabilă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- suprafețe de teren de pe teritoriul țării care drenează apele poluate sau expuse poluării cu nitrați din surse agricole și care contribuie la poluarea acestor ape.</w:t>
      </w:r>
    </w:p>
    <w:p w:rsidR="006110A7" w:rsidRPr="00E03359" w:rsidRDefault="006110A7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2A4C8B" w:rsidRPr="00E03359" w:rsidRDefault="00CB0AD6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11" w:name="do|ax1|ar3|al1"/>
      <w:bookmarkStart w:id="12" w:name="do|ax1|ar3|al1^1"/>
      <w:bookmarkEnd w:id="11"/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Art.3 </w:t>
      </w:r>
    </w:p>
    <w:p w:rsidR="00E56DE0" w:rsidRPr="00E03359" w:rsidRDefault="00C65918" w:rsidP="000047C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hAnsi="Times New Roman" w:cs="Times New Roman"/>
          <w:sz w:val="24"/>
          <w:szCs w:val="24"/>
        </w:rPr>
        <w:t xml:space="preserve"> </w:t>
      </w:r>
      <w:r w:rsidR="002A4C8B" w:rsidRPr="00E03359">
        <w:rPr>
          <w:rFonts w:ascii="Times New Roman" w:hAnsi="Times New Roman" w:cs="Times New Roman"/>
          <w:sz w:val="24"/>
          <w:szCs w:val="24"/>
        </w:rPr>
        <w:t>(1</w:t>
      </w:r>
      <w:r w:rsidR="002A4C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 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În termen de un an de la data intrării în vigoare a prezentului Plan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acţiune</w:t>
      </w:r>
      <w:proofErr w:type="spellEnd"/>
      <w:r w:rsidR="00AC3A76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autoritatea publică </w:t>
      </w:r>
      <w:r w:rsidR="005A0FD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centrală din domeniul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apelor, pe baza datelor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informaţiilor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furnizate prin Sistemul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naţional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monitoring integrat al apelor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cu sprijinul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Administraţiei</w:t>
      </w:r>
      <w:proofErr w:type="spellEnd"/>
      <w:r w:rsidR="002A75ED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="002A75ED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Naţionale</w:t>
      </w:r>
      <w:proofErr w:type="spellEnd"/>
      <w:r w:rsidR="002A75ED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"Apele Române"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identifică apele afectate de poluarea cu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nitraţi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din surse agricole</w:t>
      </w:r>
      <w:r w:rsidR="008D61DC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="008D61DC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8D61DC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apele </w:t>
      </w:r>
      <w:r w:rsidR="00653DA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care ar putea fi poluate</w:t>
      </w:r>
      <w:r w:rsid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653DA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dacă nu se iau măsurile prevăzute la art.5.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Identificarea acestor categorii de ape se face pe</w:t>
      </w:r>
      <w:r w:rsidR="008D61DC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baza criteriilor prevăzute </w:t>
      </w:r>
      <w:r w:rsid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 a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nexa nr.1.</w:t>
      </w:r>
      <w:r w:rsidR="003037F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BC279C" w:rsidRPr="00BC279C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13" w:name="do|ax1|ar3|al2"/>
      <w:bookmarkEnd w:id="13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 xml:space="preserve"> </w:t>
      </w:r>
      <w:bookmarkStart w:id="14" w:name="do|ax1|ar3|al2^1"/>
      <w:bookmarkEnd w:id="14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(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2)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termen de 2 ani de la data intrării în vigoare a prezentului Plan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653DA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au</w:t>
      </w:r>
      <w:r w:rsidR="00130932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torităț</w:t>
      </w:r>
      <w:r w:rsidR="00653DA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ile publice 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centrale din domeniul</w:t>
      </w:r>
      <w:r w:rsidR="00653DA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apelor,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agriculturii</w:t>
      </w:r>
      <w:r w:rsidR="00653DA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sănătății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desemnează toate zonele vulnerabile care drenează în apele identificate potrivit alin. (1)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care contribuie la poluarea acestora.</w:t>
      </w:r>
    </w:p>
    <w:p w:rsidR="00007ACF" w:rsidRPr="00E03359" w:rsidRDefault="00BC279C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(3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)Autoritatea publică </w:t>
      </w:r>
      <w:r w:rsidR="00C8048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centrală din</w:t>
      </w:r>
      <w:r w:rsidR="005A0FD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domeniul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apelor notifică Comisiei Europene zonele vulnerabile prevăzute la </w:t>
      </w:r>
      <w:r w:rsidR="008D61DC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alin. (2), în termen de 6 luni 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 la data aderării României la Uniunea Europeană.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5" w:name="do|ax1|ar3|al3"/>
      <w:bookmarkEnd w:id="15"/>
    </w:p>
    <w:p w:rsidR="00007ACF" w:rsidRPr="00E03359" w:rsidRDefault="00BC279C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(4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)În cazul în care apele prevăzute la alin. (1) sunt poluate de apele dintr-un stat membru care sunt drenate direct sau indirect, autoritatea publică </w:t>
      </w:r>
      <w:r w:rsidR="00C8048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centrală din</w:t>
      </w:r>
      <w:r w:rsidR="005A0FD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domeniul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apelor poate notifica aceste fapte celuilalt stat membru, precum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Comisiei Europene.</w:t>
      </w:r>
    </w:p>
    <w:p w:rsidR="00007ACF" w:rsidRPr="00E03359" w:rsidRDefault="00BC279C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6" w:name="do|ax1|ar3|al1^2"/>
      <w:bookmarkEnd w:id="16"/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(5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)Statele membre implicate pr</w:t>
      </w:r>
      <w:r w:rsidR="00F206C9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ocedează, acolo unde este cazul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împreună cu Comisia Europeană</w:t>
      </w:r>
      <w:r w:rsidR="00F206C9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la punerea de acord necesară pentru identificarea surselor poluării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măsurilor care trebuie luate pentru protejarea apelor afectate, în sensul asigurării conformării cu prevederile legale.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BC279C" w:rsidP="008F3ECD">
      <w:pPr>
        <w:shd w:val="clear" w:color="auto" w:fill="FFFFFF"/>
        <w:tabs>
          <w:tab w:val="left" w:pos="28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(6</w:t>
      </w:r>
      <w:r w:rsidR="008F3ECD"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8F3ECD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="00130932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Autoritățile</w:t>
      </w:r>
      <w:r w:rsidR="00130932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publice 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centrale din domeniul</w:t>
      </w:r>
      <w:r w:rsidR="00130932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apelor, agriculturii și sănătății</w:t>
      </w:r>
      <w:r w:rsidR="00035B6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9B416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reexaminează și, dacă este necesar</w:t>
      </w:r>
      <w:r w:rsidR="00F206C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revizuiesc</w:t>
      </w:r>
      <w:r w:rsidR="008A109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sau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completează, cel puțin o dată la 4 ani, lista cuprinzând zonele vulnerabile, analizând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luând în considerare schimbările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factorii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neprevăzuţi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momentul alcătuirii acesteia.</w:t>
      </w:r>
    </w:p>
    <w:p w:rsidR="00007ACF" w:rsidRPr="00E03359" w:rsidRDefault="00007ACF" w:rsidP="00007AC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07ACF" w:rsidRPr="00E03359" w:rsidRDefault="00BC279C" w:rsidP="00007AC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(7</w:t>
      </w:r>
      <w:r w:rsidR="00007ACF"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B84A6B" w:rsidRPr="00E03359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 xml:space="preserve"> Autoritatea publică </w:t>
      </w:r>
      <w:r w:rsidR="00C8048F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>centrală din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 xml:space="preserve"> domeniul</w:t>
      </w:r>
      <w:r w:rsidR="00007ACF" w:rsidRPr="00E03359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 xml:space="preserve"> apelor notifică Comisiei Europeane orice revizuire sau adaos adus listei cu desemnările zonelor vulnerabile la nitraţi din surse agricole în termen de 6 luni de la decizia luată.</w:t>
      </w:r>
    </w:p>
    <w:p w:rsidR="00007ACF" w:rsidRPr="00E03359" w:rsidRDefault="00007ACF" w:rsidP="00007AC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</w:pPr>
    </w:p>
    <w:p w:rsidR="00007ACF" w:rsidRPr="00E03359" w:rsidRDefault="00BC279C" w:rsidP="00007ACF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</w:pPr>
      <w:r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(8</w:t>
      </w:r>
      <w:r w:rsidR="00007ACF"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) </w:t>
      </w:r>
      <w:r w:rsidR="00B84A6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Autoritățile publice </w:t>
      </w:r>
      <w:r w:rsidR="005A0FD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centrale din domeniul</w:t>
      </w:r>
      <w:r w:rsidR="00B84A6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apelor, agricul</w:t>
      </w:r>
      <w:r w:rsidR="008A1093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turii și sănătății </w:t>
      </w:r>
      <w:r w:rsidR="00007ACF" w:rsidRPr="00E03359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 xml:space="preserve">sunt scutite de obligaţia de a redesemna zone vulnerabile specifice dacă stabilesc şi aplică pe întreg teritoriul lor naţional programele de acţiune prevăzute la art.5. </w:t>
      </w:r>
      <w:bookmarkStart w:id="17" w:name="do|ax1|ar3|al3^1"/>
      <w:bookmarkStart w:id="18" w:name="do|ax1|ar3|al4"/>
      <w:bookmarkEnd w:id="17"/>
      <w:bookmarkEnd w:id="18"/>
    </w:p>
    <w:p w:rsidR="00325E55" w:rsidRPr="00E03359" w:rsidRDefault="00325E55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844D6D" w:rsidRPr="00E03359" w:rsidRDefault="00CB0AD6" w:rsidP="00844D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Art.</w:t>
      </w:r>
      <w:r w:rsidR="00844D6D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4. </w:t>
      </w:r>
    </w:p>
    <w:p w:rsidR="00007ACF" w:rsidRPr="00E03359" w:rsidRDefault="00C65918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(1)În scopul asigurării, pentru toate categoriile de ape, a unui nivel general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protecţie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împotriva poluării, în termen de un an de la data intrării în vigoare a prezentului </w:t>
      </w:r>
      <w:r w:rsidR="007876E1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Plan de </w:t>
      </w:r>
      <w:proofErr w:type="spellStart"/>
      <w:r w:rsidR="007876E1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acţiune</w:t>
      </w:r>
      <w:proofErr w:type="spellEnd"/>
      <w:r w:rsidR="007876E1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</w:t>
      </w:r>
      <w:r w:rsid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Comisia </w:t>
      </w:r>
      <w:r w:rsidR="0069769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E56DE0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stabilește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</w:p>
    <w:p w:rsidR="00007ACF" w:rsidRPr="00E03359" w:rsidRDefault="00007ACF" w:rsidP="00007ACF">
      <w:pPr>
        <w:shd w:val="clear" w:color="auto" w:fill="FFFFFF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a)</w:t>
      </w:r>
      <w:r w:rsidR="000A042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un cod </w:t>
      </w: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 </w:t>
      </w:r>
      <w:r w:rsidR="000A042F">
        <w:rPr>
          <w:rFonts w:ascii="Times New Roman" w:eastAsia="Calibri" w:hAnsi="Times New Roman" w:cs="Times New Roman"/>
          <w:sz w:val="24"/>
          <w:szCs w:val="24"/>
          <w:lang w:val="ro-RO"/>
        </w:rPr>
        <w:t>bune practici agricole, care va fi pus</w:t>
      </w: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aplicare în mod voluntar de către fermieri și care trebuie să cuprindă cel puțin elemente</w:t>
      </w:r>
      <w:r w:rsidR="000A042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 enumerate la punctul A din </w:t>
      </w:r>
      <w:r w:rsidR="00A10B77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Anexa nr. 3</w:t>
      </w: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</w:p>
    <w:p w:rsidR="00007ACF" w:rsidRPr="00E03359" w:rsidRDefault="00007ACF" w:rsidP="00007ACF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Codul</w:t>
      </w:r>
      <w:r w:rsidR="00E56DE0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0A042F">
        <w:rPr>
          <w:rFonts w:ascii="Times New Roman" w:eastAsia="Calibri" w:hAnsi="Times New Roman" w:cs="Times New Roman"/>
          <w:sz w:val="24"/>
          <w:szCs w:val="24"/>
          <w:lang w:val="ro-RO"/>
        </w:rPr>
        <w:t>va</w:t>
      </w:r>
      <w:r w:rsidR="007B3980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fi </w:t>
      </w:r>
      <w:r w:rsidR="000A042F">
        <w:rPr>
          <w:rFonts w:ascii="Times New Roman" w:eastAsia="Calibri" w:hAnsi="Times New Roman" w:cs="Times New Roman"/>
          <w:sz w:val="24"/>
          <w:szCs w:val="24"/>
          <w:lang w:val="ro-RO"/>
        </w:rPr>
        <w:t>supus</w:t>
      </w: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reactualizării în funcție de progresele în domeniu </w:t>
      </w:r>
      <w:proofErr w:type="spellStart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apariția de noi tehnologii </w:t>
      </w:r>
      <w:proofErr w:type="spellStart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practici agricole cu impact redus asupra mediului;</w:t>
      </w:r>
    </w:p>
    <w:p w:rsidR="00007ACF" w:rsidRPr="00E03359" w:rsidRDefault="00007ACF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b) dacă se consideră necesar, un program care prevede instruirea și informarea fermierilor în vederea promovării punerii în aplicare a </w:t>
      </w:r>
      <w:r w:rsidR="007F12B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codului de bune practici agricole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07ACF" w:rsidRPr="00E03359" w:rsidRDefault="00007ACF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</w:pPr>
    </w:p>
    <w:p w:rsidR="00007ACF" w:rsidRPr="00E03359" w:rsidRDefault="00BC279C" w:rsidP="00E815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="00007ACF" w:rsidRPr="00BC279C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="00007ACF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Autoritatea publică </w:t>
      </w:r>
      <w:r w:rsidR="00C8048F">
        <w:rPr>
          <w:rFonts w:ascii="Times New Roman" w:eastAsia="Calibri" w:hAnsi="Times New Roman" w:cs="Times New Roman"/>
          <w:sz w:val="24"/>
          <w:szCs w:val="24"/>
          <w:lang w:val="ro-RO"/>
        </w:rPr>
        <w:t>centrală din</w:t>
      </w:r>
      <w:r w:rsidR="005A0FD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domeniul</w:t>
      </w:r>
      <w:r w:rsidR="00007ACF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ape</w:t>
      </w:r>
      <w:r w:rsidR="000A042F">
        <w:rPr>
          <w:rFonts w:ascii="Times New Roman" w:eastAsia="Calibri" w:hAnsi="Times New Roman" w:cs="Times New Roman"/>
          <w:sz w:val="24"/>
          <w:szCs w:val="24"/>
          <w:lang w:val="ro-RO"/>
        </w:rPr>
        <w:t>lor notifică Comisiei Europene c</w:t>
      </w:r>
      <w:r w:rsidR="00007ACF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odul de bune practici agricole.</w:t>
      </w:r>
    </w:p>
    <w:p w:rsidR="00007ACF" w:rsidRDefault="00007ACF" w:rsidP="00077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Aceste informații sunt incluse și în raportul prevăzut la art.9.</w:t>
      </w:r>
    </w:p>
    <w:p w:rsidR="0007705F" w:rsidRPr="00E03359" w:rsidRDefault="0007705F" w:rsidP="000770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72BB6" w:rsidRPr="00E03359" w:rsidRDefault="00BC279C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5C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</w:t>
      </w:r>
      <w:r w:rsidR="00007ACF" w:rsidRPr="00CD5C22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3)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vederea </w:t>
      </w:r>
      <w:r w:rsidR="005552F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elaborării codului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bune practici agricole prevăzut la alin. (1) lit. a)</w:t>
      </w:r>
      <w:r w:rsidR="00F91092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69769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Comisia </w:t>
      </w:r>
      <w:r w:rsidR="00E56DE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7B398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</w:t>
      </w:r>
      <w:r w:rsidR="00E56DE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oa</w:t>
      </w:r>
      <w:r w:rsidR="007B398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</w:t>
      </w:r>
      <w:r w:rsidR="00E56DE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</w:t>
      </w:r>
      <w:r w:rsidR="007B398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E56DE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consulta institu</w:t>
      </w:r>
      <w:r w:rsidR="00472BB6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</w:t>
      </w:r>
      <w:r w:rsidR="007B398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72BB6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sau persoane cu experiență în domeniul implementării Directivei Nitrați.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E56DE0" w:rsidRPr="00E03359" w:rsidRDefault="00E56DE0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56DE0" w:rsidRPr="00E03359" w:rsidRDefault="00CD5C22" w:rsidP="00E815E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5C22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lastRenderedPageBreak/>
        <w:t>(</w:t>
      </w:r>
      <w:r w:rsidR="00E56DE0" w:rsidRPr="00CD5C22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>4)</w:t>
      </w:r>
      <w:r w:rsidR="005552F0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>Codul de bune practici agricole se aprob</w:t>
      </w:r>
      <w:r w:rsidR="005552F0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ă</w:t>
      </w:r>
      <w:r w:rsidR="00E56DE0" w:rsidRPr="00E03359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 xml:space="preserve"> prin ordin comun al conducătorului </w:t>
      </w:r>
      <w:r w:rsidR="00C02ACC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autorității</w:t>
      </w:r>
      <w:r w:rsidR="00E56DE0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publice 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centrale din domeniul</w:t>
      </w:r>
      <w:r w:rsidR="00E56DE0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apelor, al conducătorului </w:t>
      </w:r>
      <w:r w:rsidR="00C02ACC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autorității</w:t>
      </w:r>
      <w:r w:rsidR="00E56DE0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publice 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centrale din domeniul</w:t>
      </w:r>
      <w:r w:rsidR="00E56DE0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agriculturii și al conducătorului autorității publice 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centrale din domeniul</w:t>
      </w:r>
      <w:r w:rsidR="00E56DE0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sănătății.</w:t>
      </w:r>
    </w:p>
    <w:p w:rsidR="00E56DE0" w:rsidRPr="00E03359" w:rsidRDefault="00E56DE0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EC3E83" w:rsidRPr="00E03359" w:rsidRDefault="00CB0AD6" w:rsidP="00EC3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Art.5</w:t>
      </w:r>
      <w:r w:rsidR="007A7FC5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007ACF" w:rsidRPr="00E03359" w:rsidRDefault="00844D6D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(1)În scopul realizării obiectivelor prevăzute la art. 1, în termen de maximum 2 ani de la desemnarea zonelor vulnerabile conform art. 3 alin. (2)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, respectiv, în termen de maximum un an de la modificarea sau completarea listei cuprinzând zonele vulnerabile, conform art. 3 alin. (4</w:t>
      </w:r>
      <w:r w:rsidR="00E12BF8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), Comisia</w:t>
      </w:r>
      <w:r w:rsidR="00CC300A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stabilește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programe de </w:t>
      </w:r>
      <w:proofErr w:type="spellStart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acţiune</w:t>
      </w:r>
      <w:proofErr w:type="spellEnd"/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referitoare l</w:t>
      </w:r>
      <w:r w:rsidR="000E650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zonele vulnerabile </w:t>
      </w:r>
      <w:r w:rsidR="00472BB6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desemnate sau la întreg teritoriu țării, după caz.</w:t>
      </w:r>
    </w:p>
    <w:p w:rsidR="00007ACF" w:rsidRPr="00E03359" w:rsidRDefault="00007ACF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ro-RO"/>
        </w:rPr>
      </w:pPr>
    </w:p>
    <w:p w:rsidR="00007ACF" w:rsidRPr="00E03359" w:rsidRDefault="00007ACF" w:rsidP="00E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C279C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(2)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Se întocmesc programe de acțiune pentru ansamblul zonelor vulnerabile de pe teritoriul țării, programe diferite pentru anumite zone vulnerabile, pentru </w:t>
      </w:r>
      <w:r w:rsidR="003F39D8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porțiuni din zonele vulnerabile.</w:t>
      </w:r>
    </w:p>
    <w:p w:rsidR="00007ACF" w:rsidRPr="00E03359" w:rsidRDefault="00007ACF" w:rsidP="00E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007ACF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(3)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Programele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iau în considerare:</w:t>
      </w:r>
    </w:p>
    <w:p w:rsidR="00007ACF" w:rsidRPr="00E03359" w:rsidRDefault="00007ACF" w:rsidP="00E8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a) datele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ştiinţifice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disponibile, în principal cele referitoare la aportul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nitraţi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surse agricole sau din alte surse;</w:t>
      </w:r>
    </w:p>
    <w:p w:rsidR="00007ACF" w:rsidRPr="00E03359" w:rsidRDefault="00007ACF" w:rsidP="00E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b)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condiţiile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mediu din regiunile vizate.</w:t>
      </w:r>
    </w:p>
    <w:p w:rsidR="00007ACF" w:rsidRPr="00E03359" w:rsidRDefault="00007ACF" w:rsidP="00E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007ACF" w:rsidP="00E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(4) Programele de acțiune se pun în </w:t>
      </w:r>
      <w:r w:rsidR="00BC279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practică într-un termen de 4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ani de la elaborarea lor și conțin următoarele măsuri obligatorii: </w:t>
      </w:r>
    </w:p>
    <w:p w:rsidR="00007ACF" w:rsidRPr="00E03359" w:rsidRDefault="004B1263" w:rsidP="00E8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(a) măsurile prevăzute la a</w:t>
      </w:r>
      <w:r w:rsidR="00A10B77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nexa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nr.4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; </w:t>
      </w:r>
    </w:p>
    <w:p w:rsidR="0099368D" w:rsidRPr="00E03359" w:rsidRDefault="00007ACF" w:rsidP="00E815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(b)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măsuril</w:t>
      </w:r>
      <w:r w:rsidR="005552F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F0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="0055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F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5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F0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5552F0">
        <w:rPr>
          <w:rFonts w:ascii="Times New Roman" w:hAnsi="Times New Roman" w:cs="Times New Roman"/>
          <w:sz w:val="24"/>
          <w:szCs w:val="24"/>
        </w:rPr>
        <w:t xml:space="preserve"> </w:t>
      </w:r>
      <w:r w:rsidR="0099368D" w:rsidRPr="00E0335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practici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elaborate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cu </w:t>
      </w:r>
      <w:r w:rsidR="004B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26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B1263">
        <w:rPr>
          <w:rFonts w:ascii="Times New Roman" w:hAnsi="Times New Roman" w:cs="Times New Roman"/>
          <w:sz w:val="24"/>
          <w:szCs w:val="24"/>
        </w:rPr>
        <w:t xml:space="preserve"> art.</w:t>
      </w:r>
      <w:r w:rsidR="0099368D" w:rsidRPr="00E03359">
        <w:rPr>
          <w:rFonts w:ascii="Times New Roman" w:hAnsi="Times New Roman" w:cs="Times New Roman"/>
          <w:sz w:val="24"/>
          <w:szCs w:val="24"/>
        </w:rPr>
        <w:t xml:space="preserve"> 4, cu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acelora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68D" w:rsidRPr="00E03359">
        <w:rPr>
          <w:rFonts w:ascii="Times New Roman" w:hAnsi="Times New Roman" w:cs="Times New Roman"/>
          <w:sz w:val="24"/>
          <w:szCs w:val="24"/>
        </w:rPr>
        <w:t>înl</w:t>
      </w:r>
      <w:r w:rsidR="004B1263">
        <w:rPr>
          <w:rFonts w:ascii="Times New Roman" w:hAnsi="Times New Roman" w:cs="Times New Roman"/>
          <w:sz w:val="24"/>
          <w:szCs w:val="24"/>
        </w:rPr>
        <w:t>ocuite</w:t>
      </w:r>
      <w:proofErr w:type="spellEnd"/>
      <w:r w:rsidR="004B126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B1263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="004B1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263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="004B126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B1263">
        <w:rPr>
          <w:rFonts w:ascii="Times New Roman" w:hAnsi="Times New Roman" w:cs="Times New Roman"/>
          <w:sz w:val="24"/>
          <w:szCs w:val="24"/>
        </w:rPr>
        <w:t>a</w:t>
      </w:r>
      <w:r w:rsidR="0099368D" w:rsidRPr="00E03359">
        <w:rPr>
          <w:rFonts w:ascii="Times New Roman" w:hAnsi="Times New Roman" w:cs="Times New Roman"/>
          <w:sz w:val="24"/>
          <w:szCs w:val="24"/>
        </w:rPr>
        <w:t>nexa</w:t>
      </w:r>
      <w:proofErr w:type="spellEnd"/>
      <w:r w:rsidR="0099368D" w:rsidRPr="00E03359">
        <w:rPr>
          <w:rFonts w:ascii="Times New Roman" w:hAnsi="Times New Roman" w:cs="Times New Roman"/>
          <w:sz w:val="24"/>
          <w:szCs w:val="24"/>
        </w:rPr>
        <w:t xml:space="preserve"> nr.4.</w:t>
      </w:r>
    </w:p>
    <w:p w:rsidR="00007ACF" w:rsidRPr="00E03359" w:rsidRDefault="006C4670" w:rsidP="0007705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E64D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007ACF" w:rsidRPr="009E64DB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(5)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scopul implementării programelor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prevăzute la alin. (4) </w:t>
      </w:r>
      <w:r w:rsidR="001F74E1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autoritățile publice </w:t>
      </w:r>
      <w:r w:rsidR="005A0FDA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centrale din domeniul</w:t>
      </w:r>
      <w:r w:rsidR="001F74E1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apelor, agriculturii și sănătății</w:t>
      </w:r>
      <w:r w:rsidR="001F74E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stabilesc</w:t>
      </w:r>
      <w:r w:rsidR="00B539FE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măsuri suplimentare sau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consolidate pe care le consideră necesare, dacă se constată în urma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experienţei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dobândite în cursul punerii în aplicare a programelor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că măsurile luate nu vor fi suficiente pentru atingerea obiect</w:t>
      </w:r>
      <w:r w:rsidR="00CD5C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ivului</w:t>
      </w:r>
      <w:r w:rsidR="000E650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CD5C2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prevăzut la art.1.</w:t>
      </w:r>
    </w:p>
    <w:p w:rsidR="00007ACF" w:rsidRDefault="00007ACF" w:rsidP="0007705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alegerea acestor măs</w:t>
      </w:r>
      <w:r w:rsidR="00F60AC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uri sau </w:t>
      </w:r>
      <w:proofErr w:type="spellStart"/>
      <w:r w:rsidR="00F60AC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acţiuni</w:t>
      </w:r>
      <w:proofErr w:type="spellEnd"/>
      <w:r w:rsidR="00F60AC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autoritățile publice 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centrale din domeniul</w:t>
      </w:r>
      <w:r w:rsidR="0086731D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apelor, agriculturii și sănă</w:t>
      </w:r>
      <w:r w:rsidR="00F60AC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tății </w:t>
      </w:r>
      <w:proofErr w:type="spellStart"/>
      <w:r w:rsidR="00F60AC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ţin</w:t>
      </w:r>
      <w:proofErr w:type="spellEnd"/>
      <w:r w:rsidR="008A1093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 de eficiența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costul lor în raport cu alte măsuri preventive care ar putea fi adoptate.</w:t>
      </w:r>
    </w:p>
    <w:p w:rsidR="0007705F" w:rsidRPr="0007705F" w:rsidRDefault="0007705F" w:rsidP="0007705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o-RO" w:eastAsia="ro-RO"/>
        </w:rPr>
      </w:pPr>
    </w:p>
    <w:p w:rsidR="00007ACF" w:rsidRPr="00E03359" w:rsidRDefault="00007ACF" w:rsidP="000770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(6)</w:t>
      </w:r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Autoritățile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0FDA">
        <w:rPr>
          <w:rFonts w:ascii="Times New Roman" w:hAnsi="Times New Roman" w:cs="Times New Roman"/>
          <w:iCs/>
          <w:sz w:val="24"/>
          <w:szCs w:val="24"/>
        </w:rPr>
        <w:t>centrale</w:t>
      </w:r>
      <w:proofErr w:type="spellEnd"/>
      <w:r w:rsidR="005A0FDA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="005A0FDA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apelor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agriculturii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sănătății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elaborează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pun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apl</w:t>
      </w:r>
      <w:r w:rsidR="00043F97" w:rsidRPr="00E03359">
        <w:rPr>
          <w:rFonts w:ascii="Times New Roman" w:hAnsi="Times New Roman" w:cs="Times New Roman"/>
          <w:iCs/>
          <w:sz w:val="24"/>
          <w:szCs w:val="24"/>
        </w:rPr>
        <w:t>icare</w:t>
      </w:r>
      <w:proofErr w:type="spellEnd"/>
      <w:r w:rsidR="00043F97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3F97" w:rsidRPr="00E03359">
        <w:rPr>
          <w:rFonts w:ascii="Times New Roman" w:hAnsi="Times New Roman" w:cs="Times New Roman"/>
          <w:iCs/>
          <w:sz w:val="24"/>
          <w:szCs w:val="24"/>
        </w:rPr>
        <w:t>programe</w:t>
      </w:r>
      <w:proofErr w:type="spellEnd"/>
      <w:r w:rsidR="00043F97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43F97" w:rsidRPr="00E03359">
        <w:rPr>
          <w:rFonts w:ascii="Times New Roman" w:hAnsi="Times New Roman" w:cs="Times New Roman"/>
          <w:iCs/>
          <w:sz w:val="24"/>
          <w:szCs w:val="24"/>
        </w:rPr>
        <w:t>corespunzătoare</w:t>
      </w:r>
      <w:proofErr w:type="spellEnd"/>
      <w:r w:rsidR="00043F97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supraveghere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control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evaluarea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eficienței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programelor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acțiune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="009E64D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6731D" w:rsidRPr="00E03359">
        <w:rPr>
          <w:rFonts w:ascii="Times New Roman" w:hAnsi="Times New Roman" w:cs="Times New Roman"/>
          <w:iCs/>
          <w:sz w:val="24"/>
          <w:szCs w:val="24"/>
        </w:rPr>
        <w:t>(1).</w:t>
      </w:r>
    </w:p>
    <w:p w:rsidR="00007ACF" w:rsidRDefault="0086731D" w:rsidP="008B19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autoritățile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0FDA">
        <w:rPr>
          <w:rFonts w:ascii="Times New Roman" w:hAnsi="Times New Roman" w:cs="Times New Roman"/>
          <w:iCs/>
          <w:sz w:val="24"/>
          <w:szCs w:val="24"/>
        </w:rPr>
        <w:t>centrale</w:t>
      </w:r>
      <w:proofErr w:type="spellEnd"/>
      <w:r w:rsidR="005A0FDA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="005A0FDA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apelor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agriculturii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sănătății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au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stabilit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pună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aplicare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programe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acţiune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ansamblul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teritoriului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naţional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supraveghează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co</w:t>
      </w:r>
      <w:r w:rsidR="00043F97" w:rsidRPr="00E03359">
        <w:rPr>
          <w:rFonts w:ascii="Times New Roman" w:hAnsi="Times New Roman" w:cs="Times New Roman"/>
          <w:iCs/>
          <w:sz w:val="24"/>
          <w:szCs w:val="24"/>
        </w:rPr>
        <w:t>nţinutul</w:t>
      </w:r>
      <w:proofErr w:type="spellEnd"/>
      <w:r w:rsidR="00043F97" w:rsidRPr="00E0335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43F97" w:rsidRPr="00E03359">
        <w:rPr>
          <w:rFonts w:ascii="Times New Roman" w:hAnsi="Times New Roman" w:cs="Times New Roman"/>
          <w:iCs/>
          <w:sz w:val="24"/>
          <w:szCs w:val="24"/>
        </w:rPr>
        <w:t>nitraţi</w:t>
      </w:r>
      <w:proofErr w:type="spellEnd"/>
      <w:r w:rsidR="00043F97" w:rsidRPr="00E03359">
        <w:rPr>
          <w:rFonts w:ascii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="00043F97" w:rsidRPr="00E03359">
        <w:rPr>
          <w:rFonts w:ascii="Times New Roman" w:hAnsi="Times New Roman" w:cs="Times New Roman"/>
          <w:iCs/>
          <w:sz w:val="24"/>
          <w:szCs w:val="24"/>
        </w:rPr>
        <w:t>apelor</w:t>
      </w:r>
      <w:proofErr w:type="spellEnd"/>
      <w:r w:rsidR="00043F97" w:rsidRPr="00E03359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E03359">
        <w:rPr>
          <w:rFonts w:ascii="Times New Roman" w:hAnsi="Times New Roman" w:cs="Times New Roman"/>
          <w:iCs/>
          <w:sz w:val="24"/>
          <w:szCs w:val="24"/>
        </w:rPr>
        <w:t xml:space="preserve">ape de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suprafaţă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ape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subterane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) la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puncte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măsurare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selecţionate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permite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determinarea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întinderii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poluării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apelor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nitraţi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surse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3359">
        <w:rPr>
          <w:rFonts w:ascii="Times New Roman" w:hAnsi="Times New Roman" w:cs="Times New Roman"/>
          <w:iCs/>
          <w:sz w:val="24"/>
          <w:szCs w:val="24"/>
        </w:rPr>
        <w:t>agricole</w:t>
      </w:r>
      <w:proofErr w:type="spellEnd"/>
      <w:r w:rsidRPr="00E03359">
        <w:rPr>
          <w:rFonts w:ascii="Times New Roman" w:hAnsi="Times New Roman" w:cs="Times New Roman"/>
          <w:iCs/>
          <w:sz w:val="24"/>
          <w:szCs w:val="24"/>
        </w:rPr>
        <w:t>.</w:t>
      </w:r>
    </w:p>
    <w:p w:rsidR="0007705F" w:rsidRPr="0007705F" w:rsidRDefault="0007705F" w:rsidP="008B1924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007ACF" w:rsidRPr="0007705F" w:rsidRDefault="00CD5C22" w:rsidP="008B19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(</w:t>
      </w:r>
      <w:r w:rsidR="00007ACF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7)</w:t>
      </w:r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64DB">
        <w:rPr>
          <w:rFonts w:ascii="Times New Roman" w:hAnsi="Times New Roman" w:cs="Times New Roman"/>
          <w:iCs/>
          <w:sz w:val="24"/>
          <w:szCs w:val="24"/>
        </w:rPr>
        <w:t>Comisia</w:t>
      </w:r>
      <w:proofErr w:type="spellEnd"/>
      <w:r w:rsidR="00C84BDF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reexamineză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4A44" w:rsidRPr="00E03359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AC4A44"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C4A44" w:rsidRPr="00E03359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r w:rsidR="00AC4A44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4A44" w:rsidRPr="00E03359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="00AC4A44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C4A44" w:rsidRPr="00E03359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="00AC4A44"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AC4A44" w:rsidRPr="00E03359">
        <w:rPr>
          <w:rFonts w:ascii="Times New Roman" w:hAnsi="Times New Roman" w:cs="Times New Roman"/>
          <w:iCs/>
          <w:sz w:val="24"/>
          <w:szCs w:val="24"/>
        </w:rPr>
        <w:t>revizuiește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programele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acţiune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inclusiv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orice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măsură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suplimentară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luată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conform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alin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>.</w:t>
      </w:r>
      <w:r w:rsidR="009E64DB">
        <w:rPr>
          <w:rFonts w:ascii="Times New Roman" w:hAnsi="Times New Roman" w:cs="Times New Roman"/>
          <w:iCs/>
          <w:sz w:val="24"/>
          <w:szCs w:val="24"/>
        </w:rPr>
        <w:t>(</w:t>
      </w:r>
      <w:r w:rsidR="0086731D" w:rsidRPr="00E03359">
        <w:rPr>
          <w:rFonts w:ascii="Times New Roman" w:hAnsi="Times New Roman" w:cs="Times New Roman"/>
          <w:iCs/>
          <w:sz w:val="24"/>
          <w:szCs w:val="24"/>
        </w:rPr>
        <w:t>5</w:t>
      </w:r>
      <w:r w:rsidR="009E64DB">
        <w:rPr>
          <w:rFonts w:ascii="Times New Roman" w:hAnsi="Times New Roman" w:cs="Times New Roman"/>
          <w:iCs/>
          <w:sz w:val="24"/>
          <w:szCs w:val="24"/>
        </w:rPr>
        <w:t>)</w:t>
      </w:r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, la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cel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puţin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fiecare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 4 </w:t>
      </w:r>
      <w:proofErr w:type="spellStart"/>
      <w:r w:rsidR="0086731D" w:rsidRPr="00E03359">
        <w:rPr>
          <w:rFonts w:ascii="Times New Roman" w:hAnsi="Times New Roman" w:cs="Times New Roman"/>
          <w:iCs/>
          <w:sz w:val="24"/>
          <w:szCs w:val="24"/>
        </w:rPr>
        <w:t>ani</w:t>
      </w:r>
      <w:proofErr w:type="spellEnd"/>
      <w:r w:rsidR="0086731D" w:rsidRPr="00E0335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07ACF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</w:t>
      </w:r>
    </w:p>
    <w:p w:rsidR="00007ACF" w:rsidRPr="00E03359" w:rsidRDefault="00007ACF" w:rsidP="008B19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Autoritatea publică </w:t>
      </w:r>
      <w:r w:rsidR="00C8048F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centrală din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domeniul</w:t>
      </w: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apelor informează Comisia Europeană asupra oricărei modificări aduse programului de </w:t>
      </w:r>
      <w:proofErr w:type="spellStart"/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acţiune</w:t>
      </w:r>
      <w:proofErr w:type="spellEnd"/>
      <w:r w:rsidR="003932C3"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.</w:t>
      </w:r>
    </w:p>
    <w:p w:rsidR="00007ACF" w:rsidRPr="00E03359" w:rsidRDefault="00007ACF" w:rsidP="008B19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</w:pPr>
    </w:p>
    <w:p w:rsidR="00CD260E" w:rsidRPr="00E03359" w:rsidRDefault="00007ACF" w:rsidP="008B1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lastRenderedPageBreak/>
        <w:t xml:space="preserve">(8)Programul de acţiune </w:t>
      </w:r>
      <w:r w:rsidR="0007705F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>se aprobă</w:t>
      </w: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it-IT" w:eastAsia="ro-RO"/>
        </w:rPr>
        <w:t xml:space="preserve"> prin ordin comun al conducătorului </w:t>
      </w:r>
      <w:proofErr w:type="spellStart"/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autorităţii</w:t>
      </w:r>
      <w:proofErr w:type="spellEnd"/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publice 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centrale din domeniul</w:t>
      </w: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apelor, al conducătorului </w:t>
      </w:r>
      <w:proofErr w:type="spellStart"/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autorităţii</w:t>
      </w:r>
      <w:proofErr w:type="spellEnd"/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publice 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centrale din domeniul</w:t>
      </w: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agriculturii și autorității publice </w:t>
      </w:r>
      <w:r w:rsidR="005A0FDA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>centrale din domeniul</w:t>
      </w:r>
      <w:r w:rsidRPr="00E03359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 xml:space="preserve"> sănătății.</w:t>
      </w:r>
    </w:p>
    <w:p w:rsidR="008B1924" w:rsidRPr="00E03359" w:rsidRDefault="008B1924" w:rsidP="008B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7A7FC5" w:rsidRPr="00E03359" w:rsidRDefault="00CB0AD6" w:rsidP="008B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Art.</w:t>
      </w:r>
      <w:r w:rsidR="00EC65F1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6.</w:t>
      </w:r>
      <w:r w:rsidR="00F85D9C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86731D" w:rsidRPr="00E03359" w:rsidRDefault="009E64DB" w:rsidP="008B192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="00007ACF"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1)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scopul stabilirii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/sau revizuirii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 completării listei cuprinzând zonele vulnerabile,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AF1072">
        <w:rPr>
          <w:rFonts w:ascii="Times New Roman" w:eastAsia="Times New Roman" w:hAnsi="Times New Roman" w:cs="Times New Roman"/>
          <w:sz w:val="24"/>
          <w:szCs w:val="24"/>
          <w:lang w:eastAsia="ro-RO"/>
        </w:rPr>
        <w:t>utoritățile</w:t>
      </w:r>
      <w:proofErr w:type="spellEnd"/>
      <w:r w:rsidR="00AF10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F1072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AF10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>centrale</w:t>
      </w:r>
      <w:proofErr w:type="spellEnd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agriculturii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vor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factorilor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abilitaţi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prezentarea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un an de la data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int</w:t>
      </w:r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rării</w:t>
      </w:r>
      <w:proofErr w:type="spellEnd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vigoare</w:t>
      </w:r>
      <w:proofErr w:type="spellEnd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prezentului</w:t>
      </w:r>
      <w:proofErr w:type="spellEnd"/>
      <w:r w:rsidR="00CD260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</w:t>
      </w:r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lan de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acţiune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periodic, o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dată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4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ani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unor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rapoarte</w:t>
      </w:r>
      <w:proofErr w:type="spellEnd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6731D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pri</w:t>
      </w:r>
      <w:r w:rsidR="006C4670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vind</w:t>
      </w:r>
      <w:proofErr w:type="spellEnd"/>
      <w:r w:rsidR="006C4670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C4670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rezultatele</w:t>
      </w:r>
      <w:proofErr w:type="spellEnd"/>
      <w:r w:rsidR="006C4670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C4670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acţiunilor</w:t>
      </w:r>
      <w:proofErr w:type="spellEnd"/>
      <w:r w:rsidR="006C4670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de:</w:t>
      </w:r>
    </w:p>
    <w:p w:rsidR="00007ACF" w:rsidRPr="00E03359" w:rsidRDefault="00007ACF" w:rsidP="008B1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03359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a)</w:t>
      </w:r>
      <w:r w:rsidRPr="00E03359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supraveghere a </w:t>
      </w:r>
      <w:proofErr w:type="spellStart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concentraţiei</w:t>
      </w:r>
      <w:proofErr w:type="spellEnd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>azotaţilor</w:t>
      </w:r>
      <w:proofErr w:type="spellEnd"/>
      <w:r w:rsidRPr="00E033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apele dulci:</w:t>
      </w:r>
    </w:p>
    <w:p w:rsidR="00007ACF" w:rsidRPr="00E03359" w:rsidRDefault="00007ACF" w:rsidP="008B192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  <w:r w:rsidR="009E64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i) care se realizează pe parcursul unui an, cel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puţin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 dată pe lună sau mai des în timpul perioadelor ploioase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inundaţii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în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secţiunile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control reprezentative pentru apele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</w:p>
    <w:p w:rsidR="00007ACF" w:rsidRPr="00E03359" w:rsidRDefault="009E64DB" w:rsidP="008B192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(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ii)  la intervale regulate, în punctele de control reprezentative pentru acvifere;</w:t>
      </w:r>
    </w:p>
    <w:p w:rsidR="00007ACF" w:rsidRPr="00E03359" w:rsidRDefault="00007ACF" w:rsidP="008B1924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b) reluare a programelor de supraveghere care se face cel puțin o dată la 4 ani. În secțiunile de control în care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concentraţia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nitraţi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toate probele anterioare s-a situat sub 25 mg/l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nici un factor nou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creştere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probabilă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conţinutului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nitraţi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nu a apărut programul de supraveghere prevăzut la alin.(1) lit. a) se va realiza o dată la 8 ani.</w:t>
      </w:r>
    </w:p>
    <w:p w:rsidR="00007ACF" w:rsidRPr="0007705F" w:rsidRDefault="00007ACF" w:rsidP="008B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007ACF" w:rsidRPr="00E03359" w:rsidRDefault="00007ACF" w:rsidP="008B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c) verificare, o dată la 4 ani, a stării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eutrofizare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apelor dulci, tranzitorii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apelor din zona costieră.</w:t>
      </w:r>
    </w:p>
    <w:p w:rsidR="00F85D9C" w:rsidRPr="00E03359" w:rsidRDefault="00F85D9C" w:rsidP="008B1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CD5C22" w:rsidP="0007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2) Metodele de măsurare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analiză de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</w:t>
      </w:r>
      <w:r w:rsidR="00CB0A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ferinţă</w:t>
      </w:r>
      <w:proofErr w:type="spellEnd"/>
      <w:r w:rsidR="009E64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sunt cele prevăzute în a</w:t>
      </w:r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nexa nr. 2. Metodele de măsurare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analiză de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referinţă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corespunzătoare standardelor indicate, au caracter voluntar, iar alte metode alternative pot fi folosite dacă se demonstrează că au  cel puțin aceeași limită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aceeaşi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limită de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detecţie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precizie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acurateţe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a celor prevăzute în anexa nr. 2. Reactualizarea metodelor de măsurare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analiză de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referinţă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face pe baza progreselor în domeniu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metodelor noi de măsurare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analiză cu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performanţe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ale limitei de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detecţie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preciziei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acurateţei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cel </w:t>
      </w:r>
      <w:proofErr w:type="spellStart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puţin</w:t>
      </w:r>
      <w:proofErr w:type="spellEnd"/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9E64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echivalente celor prevăzute în a</w:t>
      </w:r>
      <w:r w:rsidR="00F85D9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nexa nr 2.</w:t>
      </w:r>
    </w:p>
    <w:p w:rsidR="00140BDD" w:rsidRPr="00E03359" w:rsidRDefault="00140BDD" w:rsidP="0014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Pr="0007705F" w:rsidRDefault="00CB0AD6" w:rsidP="0007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770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Art.7 </w:t>
      </w:r>
      <w:bookmarkStart w:id="19" w:name="do|ax1|ar7|al1"/>
      <w:bookmarkEnd w:id="19"/>
      <w:r w:rsidR="0007705F" w:rsidRPr="0007705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</w:p>
    <w:p w:rsidR="00007ACF" w:rsidRPr="0007705F" w:rsidRDefault="00CD5C22" w:rsidP="00077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Comisia</w:t>
      </w:r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stabilește un proiect </w:t>
      </w:r>
      <w:proofErr w:type="spellStart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conţinând</w:t>
      </w:r>
      <w:proofErr w:type="spellEnd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seturi de măsuri pentru implementarea Planului</w:t>
      </w:r>
      <w:r w:rsidR="00B57077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acțiune, care va cuprinde</w:t>
      </w:r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procedurile </w:t>
      </w:r>
      <w:proofErr w:type="spellStart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instrucţiunile</w:t>
      </w:r>
      <w:proofErr w:type="spellEnd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sistemul de supraveghere </w:t>
      </w:r>
      <w:proofErr w:type="spellStart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control prevăzute la art. 5 </w:t>
      </w:r>
      <w:proofErr w:type="spellStart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07705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6.</w:t>
      </w:r>
    </w:p>
    <w:p w:rsidR="00C02ACC" w:rsidRDefault="00C02ACC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bookmarkStart w:id="20" w:name="do|ax1|ar7|al2"/>
      <w:bookmarkEnd w:id="20"/>
    </w:p>
    <w:p w:rsidR="00007ACF" w:rsidRPr="00E03359" w:rsidRDefault="00CB0AD6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Art.8</w:t>
      </w:r>
    </w:p>
    <w:p w:rsidR="0007705F" w:rsidRDefault="00F67AC2" w:rsidP="008422D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Anexele</w:t>
      </w:r>
      <w:r w:rsidR="00C02AC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nr.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1-5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se pot adapta la progresul științific și tehnic în </w:t>
      </w:r>
      <w:r w:rsidR="00E5592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funcție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progresele în domeniu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apariţia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noi tehnologii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practici agricole cu impact redus asupra mediului la nivel național și european</w:t>
      </w:r>
      <w:r w:rsidR="00E5592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7705F" w:rsidRPr="0007705F" w:rsidRDefault="0007705F" w:rsidP="008422D8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007ACF" w:rsidP="00140BD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Art.9</w:t>
      </w:r>
    </w:p>
    <w:p w:rsidR="00D43EFC" w:rsidRPr="00E03359" w:rsidRDefault="00CD5C22" w:rsidP="00140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1)</w:t>
      </w:r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dată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4 </w:t>
      </w:r>
      <w:proofErr w:type="spellStart"/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ani</w:t>
      </w:r>
      <w:proofErr w:type="spellEnd"/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autoritatea</w:t>
      </w:r>
      <w:proofErr w:type="spellEnd"/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1F3C28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8048F">
        <w:rPr>
          <w:rFonts w:ascii="Times New Roman" w:eastAsia="Times New Roman" w:hAnsi="Times New Roman" w:cs="Times New Roman"/>
          <w:sz w:val="24"/>
          <w:szCs w:val="24"/>
          <w:lang w:eastAsia="ro-RO"/>
        </w:rPr>
        <w:t>centrală</w:t>
      </w:r>
      <w:proofErr w:type="spellEnd"/>
      <w:r w:rsidR="00C8048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</w:t>
      </w:r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sprijinul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autorității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>centrale</w:t>
      </w:r>
      <w:proofErr w:type="spellEnd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5A0FDA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agriculturii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domeniul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său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competență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întocmesc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raport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9E64DB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nexei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5, </w:t>
      </w:r>
      <w:proofErr w:type="spellStart"/>
      <w:proofErr w:type="gram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proofErr w:type="gram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înaintat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Comisiei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Europene</w:t>
      </w:r>
      <w:proofErr w:type="spellEnd"/>
      <w:r w:rsidR="00D43EFC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007ACF" w:rsidRPr="00E03359" w:rsidRDefault="00007ACF" w:rsidP="00140BDD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(2</w:t>
      </w:r>
      <w:r w:rsidR="00F67AC2" w:rsidRPr="00E03359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ro-RO"/>
        </w:rPr>
        <w:t xml:space="preserve">)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Autoritatea publ</w:t>
      </w:r>
      <w:r w:rsidR="00CB0A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ică </w:t>
      </w:r>
      <w:r w:rsidR="00C8048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centrală din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domeniul</w:t>
      </w:r>
      <w:r w:rsidR="00CB0AD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</w:t>
      </w:r>
      <w:r w:rsidR="00F67AC2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43EF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înaintează Comisiei 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uropene raportul realizat în conformitate cu prezentul articol</w:t>
      </w:r>
      <w:r w:rsidR="009E64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termen de 6 luni de la încheierea perioadei de raportare la care se referă acesta.</w:t>
      </w:r>
    </w:p>
    <w:p w:rsidR="008422D8" w:rsidRPr="00E03359" w:rsidRDefault="008422D8" w:rsidP="008B001F">
      <w:pPr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ro-RO"/>
        </w:rPr>
      </w:pPr>
      <w:bookmarkStart w:id="21" w:name="do|ax1|ar8|al3"/>
      <w:bookmarkStart w:id="22" w:name="do|ax1|ar9|pa1:25"/>
      <w:bookmarkStart w:id="23" w:name="do|ax1|ar9|pa1"/>
      <w:bookmarkEnd w:id="21"/>
      <w:bookmarkEnd w:id="22"/>
      <w:bookmarkEnd w:id="23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Art. 10</w:t>
      </w:r>
    </w:p>
    <w:p w:rsidR="00007ACF" w:rsidRPr="00E03359" w:rsidRDefault="00007ACF" w:rsidP="008B001F">
      <w:pPr>
        <w:pStyle w:val="ListParagraph"/>
        <w:tabs>
          <w:tab w:val="left" w:pos="198"/>
        </w:tabs>
        <w:ind w:left="0"/>
      </w:pPr>
      <w:bookmarkStart w:id="24" w:name="do|ax1|ar10|pa1"/>
      <w:bookmarkEnd w:id="24"/>
      <w:r w:rsidRPr="00E03359">
        <w:t>(1)</w:t>
      </w:r>
      <w:r w:rsidR="00D43EFC" w:rsidRPr="00E03359">
        <w:t xml:space="preserve"> Autoritățile publice </w:t>
      </w:r>
      <w:r w:rsidR="00C8048F">
        <w:t>centrală din</w:t>
      </w:r>
      <w:r w:rsidR="005A0FDA">
        <w:t xml:space="preserve"> domeniul</w:t>
      </w:r>
      <w:r w:rsidR="00D43EFC" w:rsidRPr="00E03359">
        <w:t xml:space="preserve"> ap</w:t>
      </w:r>
      <w:r w:rsidR="00C8048F">
        <w:t>elor, agriculturii și sănătății</w:t>
      </w:r>
      <w:r w:rsidR="00CD5C22">
        <w:t>, emit ordine</w:t>
      </w:r>
      <w:r w:rsidRPr="00E03359">
        <w:t xml:space="preserve">, regulamente, metodologii </w:t>
      </w:r>
      <w:proofErr w:type="spellStart"/>
      <w:r w:rsidRPr="00E03359">
        <w:t>şi</w:t>
      </w:r>
      <w:proofErr w:type="spellEnd"/>
      <w:r w:rsidRPr="00E03359">
        <w:t xml:space="preserve"> proceduri necesare pe</w:t>
      </w:r>
      <w:r w:rsidR="00CD260E" w:rsidRPr="00E03359">
        <w:t>ntru implementarea prezentului P</w:t>
      </w:r>
      <w:r w:rsidRPr="00E03359">
        <w:t xml:space="preserve">lan de </w:t>
      </w:r>
      <w:proofErr w:type="spellStart"/>
      <w:r w:rsidRPr="00E03359">
        <w:t>acţiune</w:t>
      </w:r>
      <w:proofErr w:type="spellEnd"/>
      <w:r w:rsidRPr="00E03359">
        <w:t>.</w:t>
      </w:r>
      <w:r w:rsidR="00AF2223" w:rsidRPr="00E03359">
        <w:t xml:space="preserve"> Autoritatea</w:t>
      </w:r>
      <w:r w:rsidR="009E64DB">
        <w:t xml:space="preserve"> publică</w:t>
      </w:r>
      <w:r w:rsidR="00C8048F">
        <w:t xml:space="preserve"> centrală din</w:t>
      </w:r>
      <w:r w:rsidR="00AF2223" w:rsidRPr="00E03359">
        <w:t xml:space="preserve"> domeniul apelor informează imediat Comisia</w:t>
      </w:r>
      <w:r w:rsidR="009E64DB">
        <w:t xml:space="preserve"> Europeană</w:t>
      </w:r>
      <w:r w:rsidR="00AF2223" w:rsidRPr="00E03359">
        <w:t xml:space="preserve"> în această privință.</w:t>
      </w:r>
    </w:p>
    <w:p w:rsidR="00007ACF" w:rsidRPr="00E03359" w:rsidRDefault="00007ACF" w:rsidP="00007ACF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(2)</w:t>
      </w:r>
      <w:r w:rsidR="00DA3F4B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Orice modificare adusă legislației în domeniu va conține o trimitere la Directiva</w:t>
      </w:r>
      <w:r w:rsidR="00FC0928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91/676/CEE sau sunt însoțite de o asemenea trimitere la data publicării lor.</w:t>
      </w:r>
    </w:p>
    <w:p w:rsidR="00EC65F1" w:rsidRDefault="00007ACF" w:rsidP="00007ACF">
      <w:pPr>
        <w:tabs>
          <w:tab w:val="left" w:pos="1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(3) Orice modificare adusă textului principale</w:t>
      </w:r>
      <w:r w:rsidR="00FC0928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lor dispoziții de drept intern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se adoptă în domeniul reglementat de prez</w:t>
      </w:r>
      <w:r w:rsidR="009E64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enta hotărâre de guvern, va fi</w:t>
      </w:r>
      <w:r w:rsidR="00E51744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comunicată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Comisiei Europene.</w:t>
      </w:r>
    </w:p>
    <w:p w:rsidR="0007705F" w:rsidRPr="00E03359" w:rsidRDefault="0007705F" w:rsidP="00007ACF">
      <w:pPr>
        <w:tabs>
          <w:tab w:val="left" w:pos="19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3C5BD1" w:rsidRDefault="003C5BD1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Art</w:t>
      </w:r>
      <w:r w:rsidR="00EC65F1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11.</w:t>
      </w:r>
    </w:p>
    <w:p w:rsidR="00EC65F1" w:rsidRPr="003C5BD1" w:rsidRDefault="003C5BD1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Anexele</w:t>
      </w:r>
      <w:proofErr w:type="spellEnd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proofErr w:type="spellEnd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1-5 </w:t>
      </w:r>
      <w:proofErr w:type="spellStart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fac</w:t>
      </w:r>
      <w:proofErr w:type="spellEnd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parte </w:t>
      </w:r>
      <w:proofErr w:type="spellStart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integrantă</w:t>
      </w:r>
      <w:proofErr w:type="spellEnd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prezentul</w:t>
      </w:r>
      <w:proofErr w:type="spellEnd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plan de </w:t>
      </w:r>
      <w:proofErr w:type="spellStart"/>
      <w:r w:rsidR="0021583E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acțiune</w:t>
      </w:r>
      <w:proofErr w:type="spellEnd"/>
      <w:r w:rsidR="00C02AC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21583E" w:rsidRPr="00E03359" w:rsidRDefault="0021583E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07705F" w:rsidRDefault="0007705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3C5BD1" w:rsidRDefault="003C5BD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21583E" w:rsidRPr="00E03359" w:rsidRDefault="002935F8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ANEXA n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r. 1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:</w:t>
      </w:r>
      <w:r w:rsidR="0007705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CRITERII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identificarea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apelor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afectate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poluarea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nitraţi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şi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apelor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care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riscă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să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fie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expuse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unei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astfel</w:t>
      </w:r>
      <w:proofErr w:type="spellEnd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="00AF760C" w:rsidRPr="00E0335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poluări</w:t>
      </w:r>
      <w:proofErr w:type="spellEnd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Apele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afectate de poluarea cu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nitraţi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apele care riscă să fie expuse unei astfel de poluări sunt identificate utilizându-se, printre altele, următoarele criterii: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25" w:name="do|ax1^1|pt1|lia:3"/>
      <w:bookmarkStart w:id="26" w:name="do|ax1^1|pt1|lia"/>
      <w:bookmarkEnd w:id="25"/>
      <w:bookmarkEnd w:id="26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a)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dacă apa dulce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utilizată sau în perspectivă de a fi utilizată ca sursă de apă potabilă,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conţine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sau risc</w:t>
      </w:r>
      <w:r w:rsidR="00273852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ă să </w:t>
      </w:r>
      <w:proofErr w:type="spellStart"/>
      <w:r w:rsidR="00273852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conţină</w:t>
      </w:r>
      <w:proofErr w:type="spellEnd"/>
      <w:r w:rsidR="00273852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concentraţii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nitraţi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mai mari decât cele prevăzute în anexa nr. 1 la normativul prevăzut  la Hotărârea Guvernului nr. </w:t>
      </w:r>
      <w:r w:rsidR="004C17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ldChar w:fldCharType="begin"/>
      </w:r>
      <w:r w:rsidR="004C17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instrText xml:space="preserve"> HYPERLINK "file:///C:\\Documents%20and%20Settings\\daniela.catana\\Sintact%202.0\\cache\\Legislatie\\temp\\00053903.htm" </w:instrText>
      </w:r>
      <w:r w:rsidR="004C17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ldChar w:fldCharType="separate"/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100/2002</w:t>
      </w:r>
      <w:r w:rsidR="004C173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fldChar w:fldCharType="end"/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pentru aprobarea Normelor de calitate pe care trebuie să le îndeplinească apele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utilizate pentru potabilizare NTPA-013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 Normativului privind metodele de măsurare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frecvenţa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prelevare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analiză a probelor din apele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destinate producerii de apă potabilă, cu modificările ulterioare, dacă nu se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acţionează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conform prevederilor art. 5 din Planul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acţiune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;</w:t>
      </w:r>
    </w:p>
    <w:p w:rsidR="002935F8" w:rsidRPr="00E03359" w:rsidRDefault="00007ACF" w:rsidP="0029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27" w:name="do|ax1^1|pt1|lib:4"/>
      <w:bookmarkStart w:id="28" w:name="do|ax1^1|pt1|lib"/>
      <w:bookmarkEnd w:id="27"/>
      <w:bookmarkEnd w:id="28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b)</w:t>
      </w:r>
      <w:bookmarkStart w:id="29" w:name="do|ax1^1|pt1|lic"/>
      <w:bookmarkEnd w:id="29"/>
      <w:r w:rsidR="002935F8" w:rsidRPr="00E0335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dacă apele subterane au sau riscă să  aibă un </w:t>
      </w:r>
      <w:proofErr w:type="spellStart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conţinut</w:t>
      </w:r>
      <w:proofErr w:type="spellEnd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nitraţi</w:t>
      </w:r>
      <w:proofErr w:type="spellEnd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mai mare decât limita maximă admisibilă prin normativele în vigoare, 50 mg/l, dacă nu se </w:t>
      </w:r>
      <w:proofErr w:type="spellStart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acţionează</w:t>
      </w:r>
      <w:proofErr w:type="spellEnd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c</w:t>
      </w:r>
      <w:r w:rsidR="00CD260E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onform prevederilor art. 5 din P</w:t>
      </w:r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lanul de </w:t>
      </w:r>
      <w:proofErr w:type="spellStart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acţiune</w:t>
      </w:r>
      <w:proofErr w:type="spellEnd"/>
      <w:r w:rsidR="002935F8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007ACF" w:rsidRPr="00E03359" w:rsidRDefault="000B3050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dacă lacurile</w:t>
      </w:r>
      <w:r w:rsidR="002935F8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="004B555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naturale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apă dulce sau alte surse de apă dulce, apele costiere, apele tranzitorii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marine sunt găsite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eutrofe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sau ar putea deveni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eutrofe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viitorul apropiat, dacă nu se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acţionează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</w:t>
      </w:r>
      <w:r w:rsidR="00CD260E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onform prevederilor art. 5 din P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lanul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B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aplicarea acestor criterii se vor lua în considerare: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0" w:name="do|ax1^1|pt2|lia"/>
      <w:bookmarkEnd w:id="30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caracteristicile fizice, chimice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biologice ale apei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solului;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1" w:name="do|ax1^1|pt2|lib"/>
      <w:bookmarkEnd w:id="31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b)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situaţia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curentă a impactului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compuşilor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azot asupra mediului (apă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sol);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2" w:name="do|ax1^1|pt2|lic"/>
      <w:bookmarkEnd w:id="32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c)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situaţia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curentă a impactului măsurilor luate în conformi</w:t>
      </w:r>
      <w:r w:rsidR="00CD260E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tate cu prevederile art. 5 din P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lanul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EC65F1" w:rsidRPr="00E03359" w:rsidRDefault="00EC65F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C91F61" w:rsidRDefault="004C173F" w:rsidP="00C91F6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hyperlink r:id="rId9" w:history="1">
        <w:r>
          <w:rPr>
            <w:rFonts w:ascii="Times New Roman" w:eastAsia="Times New Roman" w:hAnsi="Times New Roman" w:cs="Times New Roman"/>
            <w:b/>
            <w:noProof/>
            <w:vanish/>
            <w:sz w:val="24"/>
            <w:szCs w:val="24"/>
          </w:rPr>
        </w:r>
        <w:r>
          <w:rPr>
            <w:rFonts w:ascii="Times New Roman" w:eastAsia="Times New Roman" w:hAnsi="Times New Roman" w:cs="Times New Roman"/>
            <w:b/>
            <w:noProof/>
            <w:vanish/>
            <w:sz w:val="24"/>
            <w:szCs w:val="24"/>
          </w:rPr>
          <w:pict>
            <v:shape id="do|ax1^2:5|_i" o:spid="_x0000_s1026" type="#_x0000_m1027" alt="m" href="C:\Documents and Settings\daniela.catana\Sintact 2.0\cache\Legislatie\temp\00046472.HTML" style="width:7.5pt;height:7.5pt;mso-wrap-style:square;mso-left-percent:-10001;mso-top-percent:-10001;mso-position-horizontal:absolute;mso-position-horizontal-relative:char;mso-position-vertical:absolute;mso-position-vertical-relative:line;mso-left-percent:-10001;mso-top-percent:-10001" o:spt="100" o:preferrelative="t" o:allowoverlap="t" o:button="t" adj="0,,0" path="m@4@5l@4@11@9@11@9@5xe" filled="f" stroked="f">
              <v:fill o:detectmouseclick="t"/>
              <v:stroke joinstyle="miter"/>
              <v:formulas/>
              <v:path o:connecttype="segments" textboxrect="3163,3163,18437,18437"/>
            </v:shape>
          </w:pict>
        </w:r>
      </w:hyperlink>
      <w:r w:rsidR="00865BF4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ANEXA n</w:t>
      </w:r>
      <w:r w:rsidR="00591F31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r. 2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: METODE DE MĂSURARE </w:t>
      </w:r>
      <w:proofErr w:type="spellStart"/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Şl</w:t>
      </w:r>
      <w:proofErr w:type="spellEnd"/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ANALIZĂ DE REFERINŢĂ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3" w:name="do|ax1^2|pa1"/>
      <w:bookmarkEnd w:id="33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Metodele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referinţă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pentru determinarea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compuşilor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azotului din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îngrăşăminte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sunt: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.SR ISO 4176/1994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4" w:name="do|ax1^2|pt1|pa1"/>
      <w:bookmarkEnd w:id="34"/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Îngrăşăminte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Dozarea azotului nitric. Metoda Gravimetrică cu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nitron</w:t>
      </w:r>
      <w:proofErr w:type="spellEnd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.SR ISO 5314/1994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5" w:name="do|ax1^2|pt2|pa1"/>
      <w:bookmarkEnd w:id="35"/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Îngrăşăminte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 Dozarea azotului amoniacal. Metoda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titrimetrică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după distilare.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6" w:name="do|ax1^2|pt2|pa2"/>
      <w:bookmarkEnd w:id="36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Ape dulci, ape costiere, tranzitorii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 marine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o-RO" w:eastAsia="ro-RO"/>
        </w:rPr>
      </w:pPr>
      <w:bookmarkStart w:id="37" w:name="do|ax1^2|pt2|pa3"/>
      <w:bookmarkEnd w:id="37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3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.SR ISO 7890-3/2000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8" w:name="do|ax1^2|pt5|pa1"/>
      <w:bookmarkEnd w:id="38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Calitatea apei. Determinarea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conţinutului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azotaţi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39" w:name="do|ax1^2|pt5|pa2"/>
      <w:bookmarkEnd w:id="39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Partea a 3-a: Metoda spectrometrică cu acid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sulfsalicilic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4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.STAS 8900/1-1971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0" w:name="do|ax1^2|pt6|pa1"/>
      <w:bookmarkEnd w:id="40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Ape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ape uzate. Determinarea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azotaţilor</w:t>
      </w:r>
      <w:proofErr w:type="spellEnd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5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.STAS 12999/1991</w:t>
      </w:r>
    </w:p>
    <w:p w:rsidR="00140BDD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41" w:name="do|ax1^2|pt7|pa1"/>
      <w:bookmarkEnd w:id="41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Apă de mare. Determinarea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conţinutului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azotaţi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C91F61" w:rsidRDefault="00C91F61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1B2B07" w:rsidRPr="00C91F61" w:rsidRDefault="00865BF4" w:rsidP="003C5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ANEXA n</w:t>
      </w:r>
      <w:r w:rsidR="00591F31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r. 3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CONŢINUTUL - CADRU al Codului </w:t>
      </w:r>
      <w:r w:rsidR="00C91F6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de bune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practici agricole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A)</w:t>
      </w:r>
      <w:r w:rsidR="00C91F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Codul de bune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practici agricole, care vizează reducerea poluării cu nitrați și care țin</w:t>
      </w:r>
      <w:r w:rsidR="00C91F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seamă de condițiile dominante din diferitele regiuni ale țării trebuie să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conţină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prevederi care se</w:t>
      </w:r>
      <w:r w:rsidR="00273852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referă la următoarele aspecte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:rsidR="00315606" w:rsidRPr="00E03359" w:rsidRDefault="00007ACF" w:rsidP="005B27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42" w:name="do|ax3|liA|pt1"/>
      <w:bookmarkEnd w:id="42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1.</w:t>
      </w:r>
      <w:r w:rsidR="005B278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perioadele în timpul cărora aplicarea îngrășămintelor pe terenurile agricole este  necorespunzătoare.</w:t>
      </w:r>
    </w:p>
    <w:p w:rsidR="00007ACF" w:rsidRPr="00E03359" w:rsidRDefault="00007ACF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.condiții de aplicare </w:t>
      </w:r>
      <w:r w:rsidR="007857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a </w:t>
      </w:r>
      <w:proofErr w:type="spellStart"/>
      <w:r w:rsidR="007857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îngrăşămintelor</w:t>
      </w:r>
      <w:proofErr w:type="spellEnd"/>
      <w:r w:rsidR="007857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 terenuri cu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pante abrupte;</w:t>
      </w:r>
    </w:p>
    <w:p w:rsidR="00007ACF" w:rsidRPr="00E03359" w:rsidRDefault="00007ACF" w:rsidP="005B27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3" w:name="do|ax3|liA|pt3"/>
      <w:bookmarkEnd w:id="43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3.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condiții de aplicarea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îngrășămintelor pe soluri saturate de apă, inundate, înghețate sau acoperite cu zăpadă;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4" w:name="do|ax3|liA|pt4"/>
      <w:bookmarkEnd w:id="44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4.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condiţiile de aplicare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terenurile amplasate lângă cursurile de apă;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5" w:name="do|ax3|liA|pt5"/>
      <w:bookmarkEnd w:id="45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5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capacitatea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construcţia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591F31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spațiilor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stocare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origine animală, inclusiv măsurile de prevenire a poluării apei prin scurgerile de la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prin infiltrarea în apele subterane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efluenţilor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proveniţi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la stocarea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origine animală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materiilor vegetale (cum</w:t>
      </w:r>
      <w:r w:rsidR="00A2256A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este cazul silozurilor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);</w:t>
      </w:r>
    </w:p>
    <w:p w:rsidR="00007ACF" w:rsidRPr="00E03359" w:rsidRDefault="00007ACF" w:rsidP="00007ACF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6" w:name="do|ax3|liA|pt6"/>
      <w:bookmarkEnd w:id="46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6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tehnologiile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procedurile de aplicare pe teren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chimice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origine animală, incluzând normele de dozare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modul de realizare a unei aplicări pe teren uniforme, pentru a putea menține la un nivel acceptabil scurgerea în ape a elementelor nutritive</w:t>
      </w:r>
      <w:r w:rsidR="00B06030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conţinutul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azotaţi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apele subterane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apele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suprafaţă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să nu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depăşească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limitele admise prin reglementările tehnice).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B)</w:t>
      </w:r>
      <w:r w:rsidR="00C91F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Codul 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 bune practic</w:t>
      </w:r>
      <w:r w:rsidR="003A793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agricole mai </w:t>
      </w:r>
      <w:proofErr w:type="spellStart"/>
      <w:r w:rsidR="003A793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po</w:t>
      </w:r>
      <w:r w:rsidR="00C91F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ate</w:t>
      </w:r>
      <w:r w:rsidR="003A793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</w:t>
      </w:r>
      <w:proofErr w:type="spellEnd"/>
      <w:r w:rsidR="003A793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cuprinde recomandări privind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:</w:t>
      </w:r>
    </w:p>
    <w:p w:rsidR="001B23C4" w:rsidRPr="00E03359" w:rsidRDefault="001B23C4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47" w:name="do|ax3|liB|pt7"/>
      <w:bookmarkEnd w:id="47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7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="00310A65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</w:t>
      </w:r>
      <w:r w:rsidR="003A793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tilizarea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terenurilor agricole, incluzând sistemul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rotaţie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culturilor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proporţia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dintre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suprafeţele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teren destinate culturilor permanente și cele cultivate cu plante anuale;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48" w:name="do|ax3|liB|pt8"/>
      <w:bookmarkEnd w:id="48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8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menţinerea pe teren a unei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cantităţi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minime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vegetaţie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care să acopere terenul în perioadele ploioase, în scopul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reţinerii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azotului în sol, care altfel ar putea cauza poluarea cu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nitraţi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apelor;</w:t>
      </w:r>
    </w:p>
    <w:p w:rsidR="00310A65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49" w:name="do|ax3|liB|pt9"/>
      <w:bookmarkEnd w:id="49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9.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9427A6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elaborarea planurilor de fertilizare a culturilor agricole, în funcție de  producția planificată și cerințe</w:t>
      </w:r>
      <w:r w:rsidR="007857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lor culturilor față de </w:t>
      </w:r>
      <w:proofErr w:type="spellStart"/>
      <w:r w:rsidR="007857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nutrienț</w:t>
      </w:r>
      <w:r w:rsidR="00C72A8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i</w:t>
      </w:r>
      <w:proofErr w:type="spellEnd"/>
      <w:r w:rsidR="0078578B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;</w:t>
      </w:r>
    </w:p>
    <w:p w:rsidR="00007ACF" w:rsidRPr="00E03359" w:rsidRDefault="003A793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10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="009427A6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ținerea registrel</w:t>
      </w:r>
      <w:r w:rsidR="00310A6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or de utilizare a </w:t>
      </w:r>
      <w:proofErr w:type="spellStart"/>
      <w:r w:rsidR="00310A6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nutrienților</w:t>
      </w:r>
      <w:proofErr w:type="spellEnd"/>
      <w:r w:rsidR="00310A65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pe fiecare</w:t>
      </w:r>
      <w:r w:rsidR="00A2256A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solă/ parcelă/cultură agricolă</w:t>
      </w:r>
      <w:r w:rsidR="00A2256A" w:rsidRPr="00E0335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;</w:t>
      </w:r>
    </w:p>
    <w:p w:rsidR="00007ACF" w:rsidRPr="00E03359" w:rsidRDefault="00310A65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0" w:name="do|ax3|liB|pt10"/>
      <w:bookmarkEnd w:id="50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11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prevenirea poluării apei din scurgerile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suprafaţă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şiroire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)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şiroirii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apei în sistemele de culturi irigate, produsă înainte ca apa să</w:t>
      </w:r>
      <w:r w:rsidR="00AF760C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pătrundă la rădăcinile plantelor.</w:t>
      </w:r>
    </w:p>
    <w:p w:rsidR="00AA1E6F" w:rsidRPr="00E03359" w:rsidRDefault="00AA1E6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:rsidR="00C91F61" w:rsidRPr="00C91F61" w:rsidRDefault="00A2256A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ANEXA n</w:t>
      </w:r>
      <w:r w:rsidR="003A4C14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r. 4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  <w:r w:rsidR="00007ACF" w:rsidRPr="00E0335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Măsuri ce trebuie incluse în Programele de </w:t>
      </w:r>
      <w:proofErr w:type="spellStart"/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acţiun</w:t>
      </w:r>
      <w:r w:rsidR="00AC7B35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e</w:t>
      </w:r>
      <w:proofErr w:type="spellEnd"/>
      <w:r w:rsidR="00AC7B35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conform art.5</w:t>
      </w:r>
      <w:r w:rsidR="00CD260E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alin. (4) din P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lanul de </w:t>
      </w:r>
      <w:proofErr w:type="spellStart"/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acţiune</w:t>
      </w:r>
      <w:proofErr w:type="spellEnd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proofErr w:type="spellStart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Măsurile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cuprind reguli referitoare la:</w:t>
      </w:r>
    </w:p>
    <w:p w:rsidR="00996FB5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1" w:name="do|ax1^4|spI.|pt1"/>
      <w:bookmarkStart w:id="52" w:name="do|ax1^4|spI.|pt2"/>
      <w:bookmarkEnd w:id="51"/>
      <w:bookmarkEnd w:id="52"/>
      <w:r w:rsidRPr="00E0335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.Perioadele în timpul cărora se interzice aplicarea anumitor tipuri de îngrășăminte.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Capacitate</w:t>
      </w:r>
      <w:r w:rsidR="008C07A8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 spațiilor pentru depozitarea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origine animală; această capacitate trebuie să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depăşească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necesarul de stocare în toate zonele vulnerabile,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ţinându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-se seama de perioadele cele mai lungi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interdicţie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aplicării pe teren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excepţia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situaţiilor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care se poate demonstra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autorităţilor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competente că orice cantitate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origine animală, în exces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faţă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actuala capacitate de stocare, va fi tratată într-o manieră care să nu aducă prejudicii mediului;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3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Limitarea numărului aplicărilor pe teren ale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conform unor bune practici agricole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ţinându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-se seama mai ales de caracteristicile zonei vulnerabile, în special de: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53" w:name="do|ax1^4|spI.|pt3|lia"/>
      <w:bookmarkStart w:id="54" w:name="do|ax1^4|spI.|pt3|lib"/>
      <w:bookmarkEnd w:id="53"/>
      <w:bookmarkEnd w:id="54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(a) de starea solurilor, a compoziției și a pantei lor;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(b) de condițiile climatice, precipitații și irigații;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(c)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practicile agricole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modul  de utilizare a terenurilor, în special de sistemul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rotaţie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culturilor</w:t>
      </w:r>
      <w:r w:rsidR="00A2256A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Aplicarea pe teren a </w:t>
      </w:r>
      <w:proofErr w:type="spellStart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 se bazează pe un echilibru între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5" w:name="do|ax1^4|spI.|pt3|lib^1"/>
      <w:bookmarkEnd w:id="55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RO" w:eastAsia="ro-RO"/>
        </w:rPr>
        <w:t>i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estimarea - prognozarea necesarului de azot al culturii;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ro-RO" w:eastAsia="ro-RO"/>
        </w:rPr>
        <w:t>ii</w:t>
      </w: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aportul de azot adus culturilor de către sol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cel din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care trebuie justificat pe baza: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6" w:name="do|ax1^4|spI.|pt3|lib^2|pa1"/>
      <w:bookmarkEnd w:id="56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cantității de azot prezentă în sol în momentul în care culturile încep să îl utilizeze în proporții importante (canti</w:t>
      </w:r>
      <w:r w:rsidR="00A2256A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tăți rămase la sfârșitul iernii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)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7" w:name="do|ax1^4|spI.|pt3|lib^2|pa2"/>
      <w:bookmarkEnd w:id="57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aportului de azot prin mineralizarea netă a rezervelor de azot organic din sol;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8" w:name="do|ax1^4|spI.|pt3|lib^2|pa3"/>
      <w:bookmarkEnd w:id="58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aportului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compuşi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ai azotului prin administrarea pe teren 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origine animală;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59" w:name="do|ax1^4|spI.|pt3|lib^2|pa4"/>
      <w:bookmarkEnd w:id="59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aportului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compuşi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ai azotului prin administrarea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îngrăşămintelor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chimice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 altor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îngrăşăminte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007ACF" w:rsidP="008C07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0" w:name="do|ax1^4|spII."/>
      <w:bookmarkEnd w:id="60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II.</w:t>
      </w:r>
      <w:r w:rsidR="008F61B4" w:rsidRPr="00E03359">
        <w:rPr>
          <w:rStyle w:val="sp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Aceste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măsuri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vor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asigura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pentru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fiecare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exploatație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agricolă</w:t>
      </w:r>
      <w:proofErr w:type="spellEnd"/>
      <w:proofErr w:type="gram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cantitatea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îngrăşăminte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origine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animală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aplicată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anual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pe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teren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inclusiv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cea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lăsată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animale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depășește</w:t>
      </w:r>
      <w:proofErr w:type="spellEnd"/>
      <w:r w:rsidR="008F61B4" w:rsidRPr="00E03359">
        <w:rPr>
          <w:rStyle w:val="tsp1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cantitatea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dată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pe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>hectar</w:t>
      </w:r>
      <w:proofErr w:type="spellEnd"/>
      <w:r w:rsidR="008F61B4"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. </w:t>
      </w:r>
    </w:p>
    <w:p w:rsidR="00007ACF" w:rsidRPr="00E03359" w:rsidRDefault="008F61B4" w:rsidP="008F61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dată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pe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hectar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de 170 kg de </w:t>
      </w: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azot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îngrășăminte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359">
        <w:rPr>
          <w:rStyle w:val="tsp1"/>
          <w:rFonts w:ascii="Times New Roman" w:hAnsi="Times New Roman" w:cs="Times New Roman"/>
          <w:sz w:val="24"/>
          <w:szCs w:val="24"/>
        </w:rPr>
        <w:t>organice</w:t>
      </w:r>
      <w:proofErr w:type="spellEnd"/>
      <w:r w:rsidRPr="00E03359">
        <w:rPr>
          <w:rStyle w:val="tsp1"/>
          <w:rFonts w:ascii="Times New Roman" w:hAnsi="Times New Roman" w:cs="Times New Roman"/>
          <w:sz w:val="24"/>
          <w:szCs w:val="24"/>
        </w:rPr>
        <w:t>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toate acestea: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a)</w:t>
      </w:r>
      <w:r w:rsidR="00B8073B" w:rsidRPr="00E033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073B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pentru primul program de acțiune pe patru ani, autoritățile publice 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centrale din domeniul</w:t>
      </w:r>
      <w:r w:rsidR="00B8073B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 și agriculturii  pot autoriza o cantitate de efluenți conținând până la 210 kg de azot;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b) în timpul primului program de acțiune pe patru ani și la sfârșitul acestui program, autoritățile publice 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centrale din domeniul</w:t>
      </w:r>
      <w:r w:rsidR="008F61B4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 și agriculturii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pot fixa cantități diferite de cele indicate anterior. Aceste cantități trebuie determinate astfel încât să nu compromită realizarea obiectivelor prevăzute la articolul 1 și trebuie să se justifice prin criterii obiective precum: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perioadele lungi de vegetație; 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culturi cu o puternică absorbție de azot;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-precipitații nete ridicate în zona vulnerabilă;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- soluri cu capacitate de denitrificare foarte ridicată.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cazul în care  autoritățile publice 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centrale din domeniul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apei și agriculturii  admit o altă valoare î</w:t>
      </w:r>
      <w:r w:rsidR="007779A4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 temeiul paragrafului 2,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litera (b), acestea informează Comisia</w:t>
      </w:r>
      <w:r w:rsidR="00DF707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Europeană</w:t>
      </w:r>
      <w:bookmarkStart w:id="61" w:name="_GoBack"/>
      <w:bookmarkEnd w:id="61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care analizează motivul efectuării modificării respective, în conformitate cu procedura de reglementare cu control menționată în procedurile sale.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bookmarkStart w:id="62" w:name="do|ax1^4|spIII."/>
      <w:bookmarkEnd w:id="62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III.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Autoritatea publică </w:t>
      </w:r>
      <w:r w:rsidR="00AA53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centrală din</w:t>
      </w:r>
      <w:r w:rsidR="005A0F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domeniul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apelor și autoritatea publică centrală din domeniul agriculturii, prin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unităţile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competente din subordinea lor, pot stabili la nivel local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cantităţile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care se face referire la pct. II, pe baza numărului de ani</w:t>
      </w:r>
      <w:r w:rsidR="00904D2B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male, la propunerea Comisiei </w:t>
      </w:r>
      <w:r w:rsidR="00C91F6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aplicarea planului de acțiune pentru protecția apelor împotriva poluării cu nitrați din surse agricole.</w:t>
      </w:r>
    </w:p>
    <w:p w:rsidR="000B490A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IV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Autoritatea publică centrală din domeniul apelor și autoritatea publică centrală din domeniul agriculturii, vor informa Comisia Europeană despre modalitatea de </w:t>
      </w:r>
      <w:r w:rsidR="008F61B4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punere în aplicare a punctului II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07ACF" w:rsidRPr="00E03359" w:rsidRDefault="00A2256A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ANEXA n</w:t>
      </w:r>
      <w:r w:rsidR="00865BF4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r. 5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: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CONŢINUTUL rapoartelor la</w:t>
      </w:r>
      <w:r w:rsidR="00AC6449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care se face referire în art. 9</w:t>
      </w:r>
      <w:r w:rsidR="00CD260E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 din P</w:t>
      </w:r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 xml:space="preserve">lanul de </w:t>
      </w:r>
      <w:proofErr w:type="spellStart"/>
      <w:r w:rsidR="00007ACF"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acţiune</w:t>
      </w:r>
      <w:proofErr w:type="spellEnd"/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63" w:name="do|ax5|pt1"/>
      <w:bookmarkEnd w:id="63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1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="00AC644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 </w:t>
      </w:r>
      <w:proofErr w:type="spellStart"/>
      <w:r w:rsidR="00AC644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situaţie</w:t>
      </w:r>
      <w:proofErr w:type="spellEnd"/>
      <w:r w:rsidR="00AC644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privind </w:t>
      </w:r>
      <w:proofErr w:type="spellStart"/>
      <w:r w:rsidR="00AC644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acţiunilor</w:t>
      </w:r>
      <w:proofErr w:type="spellEnd"/>
      <w:r w:rsidR="00AC644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 prevenire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adoptate conform art. 5.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2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 hartă reprezentând următoarele: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64" w:name="do|ax5|pt2|lia"/>
      <w:bookmarkEnd w:id="64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apele identificate potrivit art. 3 alin. (1)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anexei nr. 1, indicându-se, pentru fiecare apă, care din criteriile prevăzute în anexa nr. 1 au fost utilizate în scopul identificării;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65" w:name="do|ax5|pt2|lib"/>
      <w:bookmarkEnd w:id="65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b)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localizarea zonelor vulnerabile desemnate, din care să reiasă distinct zonele existente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zonele nou-identificate de la momentul emiterii raportului anterior</w:t>
      </w:r>
      <w:r w:rsidR="00904D2B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66" w:name="do|ax5|pt3"/>
      <w:bookmarkEnd w:id="66"/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3</w:t>
      </w: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 sinteză a rezultatelor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obţinute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prin sistemul de supraveghere, conform prevederilor art. 6, inclusiv o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situaţie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privind aprecierile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considerentele care au condus la identificarea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desemnarea fiecărei zone vulnerabile sau la orice revizuire ori adăugare de astfel de zone</w:t>
      </w:r>
      <w:r w:rsidR="00904D2B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4.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 sinteză a programelor de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elaborate conform prevederilor art. 5, cu accent pe:</w:t>
      </w:r>
    </w:p>
    <w:p w:rsidR="00007ACF" w:rsidRPr="00E03359" w:rsidRDefault="00007ACF" w:rsidP="0000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67" w:name="do|ax5|pt4|lia"/>
      <w:bookmarkEnd w:id="67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a)</w:t>
      </w:r>
      <w:r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măsurile prevăzute la art. 5 alin. (4);</w:t>
      </w:r>
    </w:p>
    <w:p w:rsidR="00BA3719" w:rsidRPr="00E03359" w:rsidRDefault="00007ACF" w:rsidP="00BA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68" w:name="do|ax5|pt4|lib"/>
      <w:bookmarkEnd w:id="68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b)</w:t>
      </w:r>
      <w:bookmarkStart w:id="69" w:name="do|ax5|pt4|lic"/>
      <w:bookmarkEnd w:id="69"/>
      <w:r w:rsidR="00BA371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informațiile neces</w:t>
      </w:r>
      <w:r w:rsidR="007F75F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are în temeiul punctului 4 din a</w:t>
      </w:r>
      <w:r w:rsidR="00BA3719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nexa 4.-se refera la alte cantități de gunoi de grajd, în afara de 170 kg azot/ha/an</w:t>
      </w:r>
      <w:r w:rsidR="00BA3719"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04716E" w:rsidRPr="00E03359" w:rsidRDefault="0004716E" w:rsidP="0004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c) </w:t>
      </w:r>
      <w:proofErr w:type="spellStart"/>
      <w:proofErr w:type="gram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proofErr w:type="gram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suplimentară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acţiune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implementată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5 </w:t>
      </w:r>
      <w:proofErr w:type="spellStart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E03359">
        <w:rPr>
          <w:rFonts w:ascii="Times New Roman" w:eastAsia="Times New Roman" w:hAnsi="Times New Roman" w:cs="Times New Roman"/>
          <w:sz w:val="24"/>
          <w:szCs w:val="24"/>
          <w:lang w:eastAsia="ro-RO"/>
        </w:rPr>
        <w:t>. (5);</w:t>
      </w:r>
    </w:p>
    <w:p w:rsidR="00007ACF" w:rsidRPr="00E03359" w:rsidRDefault="0004716E" w:rsidP="0004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d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 sinteză a rezultatelor programelor de supraveghere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control, implementate conform prevederilor art. 5 alin.(6);</w:t>
      </w:r>
    </w:p>
    <w:p w:rsidR="00007ACF" w:rsidRPr="00E03359" w:rsidRDefault="0004716E" w:rsidP="0004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70" w:name="do|ax5|pt4|lid"/>
      <w:bookmarkEnd w:id="70"/>
      <w:r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e</w:t>
      </w:r>
      <w:r w:rsidR="00007ACF" w:rsidRPr="00E03359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)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 apreciere formulată de auto</w:t>
      </w:r>
      <w:r w:rsidR="00AA53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ritățile publice centrale din domeniul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ape</w:t>
      </w:r>
      <w:r w:rsidR="00AA530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lor și agriculturii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privire la termenele cele mai probabile în care se preconizează că efectele măsurilor programelor de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acţiune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asupra </w:t>
      </w:r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lastRenderedPageBreak/>
        <w:t xml:space="preserve">apelor identificate conform art. 3 alin. (1) ating rezultatele scontate, indicându-se totodată </w:t>
      </w:r>
      <w:proofErr w:type="spellStart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="00007ACF" w:rsidRPr="00E0335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nivelul de incertitudine al acestei estimări.</w:t>
      </w:r>
    </w:p>
    <w:p w:rsidR="00007ACF" w:rsidRPr="00E03359" w:rsidRDefault="00007ACF" w:rsidP="00007AC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71" w:name="do|ax5|pt5"/>
      <w:bookmarkEnd w:id="71"/>
    </w:p>
    <w:p w:rsidR="001D75AF" w:rsidRPr="00E03359" w:rsidRDefault="001D75AF">
      <w:pPr>
        <w:rPr>
          <w:rFonts w:ascii="Times New Roman" w:hAnsi="Times New Roman" w:cs="Times New Roman"/>
          <w:sz w:val="24"/>
          <w:szCs w:val="24"/>
        </w:rPr>
      </w:pPr>
    </w:p>
    <w:sectPr w:rsidR="001D75AF" w:rsidRPr="00E03359" w:rsidSect="0007705F">
      <w:footerReference w:type="default" r:id="rId10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3F" w:rsidRDefault="004C173F" w:rsidP="00D87885">
      <w:pPr>
        <w:spacing w:after="0" w:line="240" w:lineRule="auto"/>
      </w:pPr>
      <w:r>
        <w:separator/>
      </w:r>
    </w:p>
  </w:endnote>
  <w:endnote w:type="continuationSeparator" w:id="0">
    <w:p w:rsidR="004C173F" w:rsidRDefault="004C173F" w:rsidP="00D8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85" w:rsidRDefault="00D87885" w:rsidP="0007705F">
    <w:pPr>
      <w:pStyle w:val="Footer"/>
    </w:pPr>
  </w:p>
  <w:p w:rsidR="00D87885" w:rsidRDefault="00D8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3F" w:rsidRDefault="004C173F" w:rsidP="00D87885">
      <w:pPr>
        <w:spacing w:after="0" w:line="240" w:lineRule="auto"/>
      </w:pPr>
      <w:r>
        <w:separator/>
      </w:r>
    </w:p>
  </w:footnote>
  <w:footnote w:type="continuationSeparator" w:id="0">
    <w:p w:rsidR="004C173F" w:rsidRDefault="004C173F" w:rsidP="00D8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106C"/>
    <w:multiLevelType w:val="hybridMultilevel"/>
    <w:tmpl w:val="5A6AF3D6"/>
    <w:lvl w:ilvl="0" w:tplc="5B16F20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7299"/>
    <w:multiLevelType w:val="hybridMultilevel"/>
    <w:tmpl w:val="5D3C5AC2"/>
    <w:lvl w:ilvl="0" w:tplc="15D60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EA"/>
    <w:rsid w:val="000047C6"/>
    <w:rsid w:val="000050EE"/>
    <w:rsid w:val="00007ACF"/>
    <w:rsid w:val="00035B69"/>
    <w:rsid w:val="00043F97"/>
    <w:rsid w:val="0004716E"/>
    <w:rsid w:val="00055180"/>
    <w:rsid w:val="00076EDD"/>
    <w:rsid w:val="0007705F"/>
    <w:rsid w:val="00077D15"/>
    <w:rsid w:val="000A042F"/>
    <w:rsid w:val="000B2961"/>
    <w:rsid w:val="000B3050"/>
    <w:rsid w:val="000B490A"/>
    <w:rsid w:val="000E6505"/>
    <w:rsid w:val="001027C0"/>
    <w:rsid w:val="001215A5"/>
    <w:rsid w:val="001221F2"/>
    <w:rsid w:val="001259A5"/>
    <w:rsid w:val="00130932"/>
    <w:rsid w:val="00140BDD"/>
    <w:rsid w:val="0014287D"/>
    <w:rsid w:val="00156EBA"/>
    <w:rsid w:val="00173692"/>
    <w:rsid w:val="0019404B"/>
    <w:rsid w:val="001A1AAD"/>
    <w:rsid w:val="001B23C4"/>
    <w:rsid w:val="001B2B07"/>
    <w:rsid w:val="001C7373"/>
    <w:rsid w:val="001D75AF"/>
    <w:rsid w:val="001F3C28"/>
    <w:rsid w:val="001F74E1"/>
    <w:rsid w:val="0020336A"/>
    <w:rsid w:val="00206A0E"/>
    <w:rsid w:val="0021583E"/>
    <w:rsid w:val="002204B0"/>
    <w:rsid w:val="00273852"/>
    <w:rsid w:val="002935F8"/>
    <w:rsid w:val="002A4C8B"/>
    <w:rsid w:val="002A67DA"/>
    <w:rsid w:val="002A75ED"/>
    <w:rsid w:val="002D5C07"/>
    <w:rsid w:val="00301891"/>
    <w:rsid w:val="0030310D"/>
    <w:rsid w:val="003037FF"/>
    <w:rsid w:val="00310A65"/>
    <w:rsid w:val="00315606"/>
    <w:rsid w:val="00325E55"/>
    <w:rsid w:val="003932C3"/>
    <w:rsid w:val="003939AF"/>
    <w:rsid w:val="003A4C14"/>
    <w:rsid w:val="003A59BE"/>
    <w:rsid w:val="003A793F"/>
    <w:rsid w:val="003B39AE"/>
    <w:rsid w:val="003B688F"/>
    <w:rsid w:val="003C38AF"/>
    <w:rsid w:val="003C5BD1"/>
    <w:rsid w:val="003E49D3"/>
    <w:rsid w:val="003F39D8"/>
    <w:rsid w:val="003F5783"/>
    <w:rsid w:val="00401C67"/>
    <w:rsid w:val="00402FEA"/>
    <w:rsid w:val="00410348"/>
    <w:rsid w:val="00420A5D"/>
    <w:rsid w:val="0044347B"/>
    <w:rsid w:val="0045660B"/>
    <w:rsid w:val="00472BB6"/>
    <w:rsid w:val="00480821"/>
    <w:rsid w:val="004A1A0F"/>
    <w:rsid w:val="004B1263"/>
    <w:rsid w:val="004B555F"/>
    <w:rsid w:val="004C173F"/>
    <w:rsid w:val="004C305F"/>
    <w:rsid w:val="004C4F70"/>
    <w:rsid w:val="00500700"/>
    <w:rsid w:val="00505460"/>
    <w:rsid w:val="005122C8"/>
    <w:rsid w:val="00536F6F"/>
    <w:rsid w:val="005454CD"/>
    <w:rsid w:val="005552F0"/>
    <w:rsid w:val="0057249E"/>
    <w:rsid w:val="00573AB5"/>
    <w:rsid w:val="00574B14"/>
    <w:rsid w:val="00590B1A"/>
    <w:rsid w:val="00591F31"/>
    <w:rsid w:val="005A09AA"/>
    <w:rsid w:val="005A0FDA"/>
    <w:rsid w:val="005A3C29"/>
    <w:rsid w:val="005B2785"/>
    <w:rsid w:val="005B6E5F"/>
    <w:rsid w:val="005C52B0"/>
    <w:rsid w:val="005C5E15"/>
    <w:rsid w:val="005E0738"/>
    <w:rsid w:val="005E1E62"/>
    <w:rsid w:val="006110A7"/>
    <w:rsid w:val="00633D01"/>
    <w:rsid w:val="00653DA5"/>
    <w:rsid w:val="00684BC6"/>
    <w:rsid w:val="00697695"/>
    <w:rsid w:val="006A290E"/>
    <w:rsid w:val="006A5D2B"/>
    <w:rsid w:val="006B59D0"/>
    <w:rsid w:val="006C4670"/>
    <w:rsid w:val="006C4836"/>
    <w:rsid w:val="00713862"/>
    <w:rsid w:val="00741A86"/>
    <w:rsid w:val="0074389F"/>
    <w:rsid w:val="00746575"/>
    <w:rsid w:val="00767B9F"/>
    <w:rsid w:val="007735AA"/>
    <w:rsid w:val="007767F8"/>
    <w:rsid w:val="007779A4"/>
    <w:rsid w:val="00780D4C"/>
    <w:rsid w:val="00781739"/>
    <w:rsid w:val="0078578B"/>
    <w:rsid w:val="007876E1"/>
    <w:rsid w:val="007A7FC5"/>
    <w:rsid w:val="007B1408"/>
    <w:rsid w:val="007B3980"/>
    <w:rsid w:val="007B5E2F"/>
    <w:rsid w:val="007C29EA"/>
    <w:rsid w:val="007D4D5F"/>
    <w:rsid w:val="007F12BC"/>
    <w:rsid w:val="007F75FF"/>
    <w:rsid w:val="008422D8"/>
    <w:rsid w:val="00844D6D"/>
    <w:rsid w:val="008458A5"/>
    <w:rsid w:val="00853E2B"/>
    <w:rsid w:val="00855267"/>
    <w:rsid w:val="00865BF4"/>
    <w:rsid w:val="0086731D"/>
    <w:rsid w:val="00871FCC"/>
    <w:rsid w:val="00872B93"/>
    <w:rsid w:val="008948A2"/>
    <w:rsid w:val="008A1093"/>
    <w:rsid w:val="008A2E6C"/>
    <w:rsid w:val="008B001F"/>
    <w:rsid w:val="008B1924"/>
    <w:rsid w:val="008B21DA"/>
    <w:rsid w:val="008C07A8"/>
    <w:rsid w:val="008C7854"/>
    <w:rsid w:val="008D61DC"/>
    <w:rsid w:val="008F3038"/>
    <w:rsid w:val="008F3ECD"/>
    <w:rsid w:val="008F61B4"/>
    <w:rsid w:val="00904D2B"/>
    <w:rsid w:val="009077CB"/>
    <w:rsid w:val="0091111F"/>
    <w:rsid w:val="00925154"/>
    <w:rsid w:val="009317A3"/>
    <w:rsid w:val="0094075A"/>
    <w:rsid w:val="009427A6"/>
    <w:rsid w:val="00946636"/>
    <w:rsid w:val="00954E05"/>
    <w:rsid w:val="0096081A"/>
    <w:rsid w:val="009655B8"/>
    <w:rsid w:val="00971155"/>
    <w:rsid w:val="009765CB"/>
    <w:rsid w:val="0099368D"/>
    <w:rsid w:val="00995344"/>
    <w:rsid w:val="00996FB5"/>
    <w:rsid w:val="009A761D"/>
    <w:rsid w:val="009B4161"/>
    <w:rsid w:val="009E4D3D"/>
    <w:rsid w:val="009E64DB"/>
    <w:rsid w:val="009E6833"/>
    <w:rsid w:val="00A10B77"/>
    <w:rsid w:val="00A1799F"/>
    <w:rsid w:val="00A2256A"/>
    <w:rsid w:val="00A27233"/>
    <w:rsid w:val="00A30E5F"/>
    <w:rsid w:val="00AA1E6F"/>
    <w:rsid w:val="00AA3F0E"/>
    <w:rsid w:val="00AA530E"/>
    <w:rsid w:val="00AC1690"/>
    <w:rsid w:val="00AC1E37"/>
    <w:rsid w:val="00AC3A76"/>
    <w:rsid w:val="00AC4A44"/>
    <w:rsid w:val="00AC6449"/>
    <w:rsid w:val="00AC7B35"/>
    <w:rsid w:val="00AE3CD4"/>
    <w:rsid w:val="00AF1072"/>
    <w:rsid w:val="00AF2223"/>
    <w:rsid w:val="00AF760C"/>
    <w:rsid w:val="00B06030"/>
    <w:rsid w:val="00B1482E"/>
    <w:rsid w:val="00B539FE"/>
    <w:rsid w:val="00B57077"/>
    <w:rsid w:val="00B63D1A"/>
    <w:rsid w:val="00B6777B"/>
    <w:rsid w:val="00B75001"/>
    <w:rsid w:val="00B8073B"/>
    <w:rsid w:val="00B84A6B"/>
    <w:rsid w:val="00BA3719"/>
    <w:rsid w:val="00BB41C9"/>
    <w:rsid w:val="00BC279C"/>
    <w:rsid w:val="00BC613D"/>
    <w:rsid w:val="00BE16DE"/>
    <w:rsid w:val="00BF7080"/>
    <w:rsid w:val="00C01FB3"/>
    <w:rsid w:val="00C02ACC"/>
    <w:rsid w:val="00C06AA0"/>
    <w:rsid w:val="00C07B15"/>
    <w:rsid w:val="00C15C4A"/>
    <w:rsid w:val="00C26B07"/>
    <w:rsid w:val="00C378FC"/>
    <w:rsid w:val="00C47B2F"/>
    <w:rsid w:val="00C65918"/>
    <w:rsid w:val="00C72A85"/>
    <w:rsid w:val="00C8048F"/>
    <w:rsid w:val="00C83A59"/>
    <w:rsid w:val="00C84BDF"/>
    <w:rsid w:val="00C91F61"/>
    <w:rsid w:val="00C94BEC"/>
    <w:rsid w:val="00CB0AD6"/>
    <w:rsid w:val="00CB46A7"/>
    <w:rsid w:val="00CC19E5"/>
    <w:rsid w:val="00CC300A"/>
    <w:rsid w:val="00CD0262"/>
    <w:rsid w:val="00CD12FA"/>
    <w:rsid w:val="00CD260E"/>
    <w:rsid w:val="00CD5C22"/>
    <w:rsid w:val="00CE67E0"/>
    <w:rsid w:val="00D43EFC"/>
    <w:rsid w:val="00D50008"/>
    <w:rsid w:val="00D5028D"/>
    <w:rsid w:val="00D62B54"/>
    <w:rsid w:val="00D70FF4"/>
    <w:rsid w:val="00D87885"/>
    <w:rsid w:val="00D92EDC"/>
    <w:rsid w:val="00DA1225"/>
    <w:rsid w:val="00DA1700"/>
    <w:rsid w:val="00DA3F4B"/>
    <w:rsid w:val="00DA7942"/>
    <w:rsid w:val="00DB54AA"/>
    <w:rsid w:val="00DC5B9C"/>
    <w:rsid w:val="00DD0A4F"/>
    <w:rsid w:val="00DE7BAD"/>
    <w:rsid w:val="00DF281F"/>
    <w:rsid w:val="00DF65AD"/>
    <w:rsid w:val="00DF7072"/>
    <w:rsid w:val="00E03359"/>
    <w:rsid w:val="00E07AB1"/>
    <w:rsid w:val="00E12BF8"/>
    <w:rsid w:val="00E209B6"/>
    <w:rsid w:val="00E345C9"/>
    <w:rsid w:val="00E44E4B"/>
    <w:rsid w:val="00E51744"/>
    <w:rsid w:val="00E55929"/>
    <w:rsid w:val="00E56DE0"/>
    <w:rsid w:val="00E61D4A"/>
    <w:rsid w:val="00E64F76"/>
    <w:rsid w:val="00E815E8"/>
    <w:rsid w:val="00E82233"/>
    <w:rsid w:val="00EA35EC"/>
    <w:rsid w:val="00EB0E7A"/>
    <w:rsid w:val="00EC3E83"/>
    <w:rsid w:val="00EC65F1"/>
    <w:rsid w:val="00ED59FC"/>
    <w:rsid w:val="00F206C9"/>
    <w:rsid w:val="00F220B6"/>
    <w:rsid w:val="00F35960"/>
    <w:rsid w:val="00F60AC3"/>
    <w:rsid w:val="00F67AC2"/>
    <w:rsid w:val="00F750CC"/>
    <w:rsid w:val="00F83378"/>
    <w:rsid w:val="00F85D9C"/>
    <w:rsid w:val="00F91092"/>
    <w:rsid w:val="00FA3E13"/>
    <w:rsid w:val="00FA7BB0"/>
    <w:rsid w:val="00FC0928"/>
    <w:rsid w:val="00FD3FD5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B037F9-FD14-40AA-826B-011DF426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CF"/>
    <w:rPr>
      <w:b/>
      <w:bCs/>
      <w:color w:val="333399"/>
      <w:u w:val="single"/>
    </w:rPr>
  </w:style>
  <w:style w:type="paragraph" w:styleId="ListParagraph">
    <w:name w:val="List Paragraph"/>
    <w:aliases w:val="Header bold"/>
    <w:basedOn w:val="Normal"/>
    <w:link w:val="ListParagraphChar"/>
    <w:uiPriority w:val="34"/>
    <w:qFormat/>
    <w:rsid w:val="00007ACF"/>
    <w:pPr>
      <w:spacing w:before="6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li1">
    <w:name w:val="tli1"/>
    <w:basedOn w:val="DefaultParagraphFont"/>
    <w:rsid w:val="00007ACF"/>
  </w:style>
  <w:style w:type="character" w:customStyle="1" w:styleId="tpt1">
    <w:name w:val="tpt1"/>
    <w:basedOn w:val="DefaultParagraphFont"/>
    <w:rsid w:val="00007ACF"/>
  </w:style>
  <w:style w:type="character" w:customStyle="1" w:styleId="tsp1">
    <w:name w:val="tsp1"/>
    <w:basedOn w:val="DefaultParagraphFont"/>
    <w:rsid w:val="00007ACF"/>
  </w:style>
  <w:style w:type="paragraph" w:styleId="Header">
    <w:name w:val="header"/>
    <w:basedOn w:val="Normal"/>
    <w:link w:val="HeaderChar"/>
    <w:uiPriority w:val="99"/>
    <w:unhideWhenUsed/>
    <w:rsid w:val="00D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85"/>
  </w:style>
  <w:style w:type="paragraph" w:styleId="Footer">
    <w:name w:val="footer"/>
    <w:basedOn w:val="Normal"/>
    <w:link w:val="FooterChar"/>
    <w:uiPriority w:val="99"/>
    <w:unhideWhenUsed/>
    <w:rsid w:val="00D8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85"/>
  </w:style>
  <w:style w:type="character" w:customStyle="1" w:styleId="sp1">
    <w:name w:val="sp1"/>
    <w:basedOn w:val="DefaultParagraphFont"/>
    <w:rsid w:val="008F61B4"/>
    <w:rPr>
      <w:b/>
      <w:bCs/>
      <w:color w:val="8F0000"/>
    </w:rPr>
  </w:style>
  <w:style w:type="character" w:customStyle="1" w:styleId="ListParagraphChar">
    <w:name w:val="List Paragraph Char"/>
    <w:aliases w:val="Header bold Char"/>
    <w:link w:val="ListParagraph"/>
    <w:uiPriority w:val="34"/>
    <w:locked/>
    <w:rsid w:val="00AF222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80"/>
    <w:rPr>
      <w:rFonts w:ascii="Segoe UI" w:hAnsi="Segoe UI" w:cs="Segoe UI"/>
      <w:sz w:val="18"/>
      <w:szCs w:val="18"/>
    </w:rPr>
  </w:style>
  <w:style w:type="character" w:customStyle="1" w:styleId="pt1">
    <w:name w:val="pt1"/>
    <w:basedOn w:val="DefaultParagraphFont"/>
    <w:rsid w:val="0045660B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aniela.catana\Sintact%202.0\cache\Legislatie\temp\000464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aniela.catana\Sintact%202.0\cache\Legislatie\temp\0004647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ADB7-8296-4046-BDF6-073F7A00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catana</dc:creator>
  <cp:keywords/>
  <dc:description/>
  <cp:lastModifiedBy>daniela catana</cp:lastModifiedBy>
  <cp:revision>4</cp:revision>
  <cp:lastPrinted>2019-08-07T07:41:00Z</cp:lastPrinted>
  <dcterms:created xsi:type="dcterms:W3CDTF">2019-08-09T08:36:00Z</dcterms:created>
  <dcterms:modified xsi:type="dcterms:W3CDTF">2019-08-09T09:55:00Z</dcterms:modified>
</cp:coreProperties>
</file>