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D4" w:rsidRPr="00386FD9" w:rsidRDefault="006F6DD4" w:rsidP="006F6D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D9">
        <w:rPr>
          <w:rFonts w:ascii="Times New Roman" w:hAnsi="Times New Roman" w:cs="Times New Roman"/>
          <w:b/>
          <w:sz w:val="24"/>
          <w:szCs w:val="24"/>
        </w:rPr>
        <w:t>GUVERNUL ROMÂNIEI</w:t>
      </w:r>
    </w:p>
    <w:p w:rsidR="006F6DD4" w:rsidRDefault="006F6DD4" w:rsidP="006F6DD4">
      <w:pPr>
        <w:autoSpaceDE w:val="0"/>
        <w:autoSpaceDN w:val="0"/>
        <w:adjustRightInd w:val="0"/>
        <w:jc w:val="center"/>
      </w:pPr>
    </w:p>
    <w:p w:rsidR="006F6DD4" w:rsidRDefault="0061320A" w:rsidP="006F6DD4">
      <w:pPr>
        <w:jc w:val="center"/>
        <w:rPr>
          <w:iCs/>
        </w:rPr>
      </w:pPr>
      <w:r>
        <w:rPr>
          <w:iCs/>
          <w:noProof/>
          <w:lang w:val="en-US"/>
        </w:rPr>
        <w:drawing>
          <wp:inline distT="0" distB="0" distL="0" distR="0">
            <wp:extent cx="5334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20A" w:rsidRDefault="0061320A" w:rsidP="006F6DD4">
      <w:pPr>
        <w:jc w:val="center"/>
        <w:rPr>
          <w:iCs/>
        </w:rPr>
      </w:pPr>
    </w:p>
    <w:p w:rsidR="0061320A" w:rsidRDefault="006F6DD4" w:rsidP="00F874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F5">
        <w:rPr>
          <w:rFonts w:ascii="Times New Roman" w:hAnsi="Times New Roman" w:cs="Times New Roman"/>
          <w:b/>
          <w:sz w:val="24"/>
          <w:szCs w:val="24"/>
        </w:rPr>
        <w:t>HOTĂRÂRE</w:t>
      </w:r>
    </w:p>
    <w:p w:rsidR="00E53FF5" w:rsidRPr="00E53FF5" w:rsidRDefault="006F6DD4" w:rsidP="00690A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3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53FF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proofErr w:type="gramEnd"/>
      <w:r w:rsidRPr="00E53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527F"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 w:rsidR="00BC5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527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BC52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3FB3">
        <w:rPr>
          <w:rStyle w:val="l5tlu1"/>
          <w:rFonts w:ascii="Times New Roman" w:hAnsi="Times New Roman" w:cs="Times New Roman"/>
          <w:sz w:val="24"/>
          <w:szCs w:val="24"/>
        </w:rPr>
        <w:t>completarea</w:t>
      </w:r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Hotărâr</w:t>
      </w:r>
      <w:r w:rsidR="00EF1F08">
        <w:rPr>
          <w:rStyle w:val="l5tlu1"/>
          <w:rFonts w:ascii="Times New Roman" w:hAnsi="Times New Roman" w:cs="Times New Roman"/>
          <w:sz w:val="24"/>
          <w:szCs w:val="24"/>
        </w:rPr>
        <w:t>ii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Guvernului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nr. 229/2009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privind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reorganizarea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Regiei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Naţionale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Pădurilor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Romsilva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şi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aprobarea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regulamentului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organizare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şi</w:t>
      </w:r>
      <w:proofErr w:type="spellEnd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F5" w:rsidRPr="00E53FF5">
        <w:rPr>
          <w:rStyle w:val="l5tlu1"/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E53FF5" w:rsidRPr="00E53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E53FF5" w:rsidRDefault="00E53FF5" w:rsidP="00E53FF5">
      <w:pPr>
        <w:rPr>
          <w:rFonts w:ascii="Times New Roman" w:hAnsi="Times New Roman" w:cs="Times New Roman"/>
          <w:sz w:val="24"/>
          <w:szCs w:val="24"/>
        </w:rPr>
      </w:pPr>
    </w:p>
    <w:p w:rsidR="006F6DD4" w:rsidRPr="00164F51" w:rsidRDefault="006F6DD4" w:rsidP="00E53FF5">
      <w:pPr>
        <w:rPr>
          <w:rFonts w:ascii="Times New Roman" w:hAnsi="Times New Roman" w:cs="Times New Roman"/>
          <w:sz w:val="24"/>
          <w:szCs w:val="24"/>
        </w:rPr>
      </w:pPr>
      <w:r w:rsidRPr="00164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4F5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F51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164F51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164F51">
        <w:rPr>
          <w:rFonts w:ascii="Times New Roman" w:hAnsi="Times New Roman" w:cs="Times New Roman"/>
          <w:sz w:val="24"/>
          <w:szCs w:val="24"/>
        </w:rPr>
        <w:t xml:space="preserve"> 108 din </w:t>
      </w:r>
      <w:proofErr w:type="spellStart"/>
      <w:r w:rsidRPr="00164F51">
        <w:rPr>
          <w:rFonts w:ascii="Times New Roman" w:hAnsi="Times New Roman" w:cs="Times New Roman"/>
          <w:sz w:val="24"/>
          <w:szCs w:val="24"/>
        </w:rPr>
        <w:t>Constituţia</w:t>
      </w:r>
      <w:proofErr w:type="spellEnd"/>
      <w:r w:rsidRPr="00164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F51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164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F51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164F51">
        <w:rPr>
          <w:rFonts w:ascii="Times New Roman" w:hAnsi="Times New Roman" w:cs="Times New Roman"/>
          <w:sz w:val="24"/>
          <w:szCs w:val="24"/>
        </w:rPr>
        <w:t>,</w:t>
      </w:r>
    </w:p>
    <w:p w:rsidR="00E53FF5" w:rsidRDefault="00E53FF5" w:rsidP="006F6DD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87249" w:rsidRDefault="006F6DD4" w:rsidP="00C8724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3FB3">
        <w:rPr>
          <w:rFonts w:ascii="Times New Roman" w:hAnsi="Times New Roman" w:cs="Times New Roman"/>
          <w:b/>
          <w:color w:val="000000"/>
          <w:sz w:val="24"/>
          <w:szCs w:val="24"/>
        </w:rPr>
        <w:t>Guvernul</w:t>
      </w:r>
      <w:proofErr w:type="spellEnd"/>
      <w:r w:rsidRPr="00DE3F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3FB3">
        <w:rPr>
          <w:rFonts w:ascii="Times New Roman" w:hAnsi="Times New Roman" w:cs="Times New Roman"/>
          <w:b/>
          <w:color w:val="000000"/>
          <w:sz w:val="24"/>
          <w:szCs w:val="24"/>
        </w:rPr>
        <w:t>României</w:t>
      </w:r>
      <w:proofErr w:type="spellEnd"/>
      <w:r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F51">
        <w:rPr>
          <w:rFonts w:ascii="Times New Roman" w:hAnsi="Times New Roman" w:cs="Times New Roman"/>
          <w:color w:val="000000"/>
          <w:sz w:val="24"/>
          <w:szCs w:val="24"/>
        </w:rPr>
        <w:t>adoptă</w:t>
      </w:r>
      <w:proofErr w:type="spellEnd"/>
      <w:r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F51"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F51">
        <w:rPr>
          <w:rFonts w:ascii="Times New Roman" w:hAnsi="Times New Roman" w:cs="Times New Roman"/>
          <w:color w:val="000000"/>
          <w:sz w:val="24"/>
          <w:szCs w:val="24"/>
        </w:rPr>
        <w:t>hotărâre</w:t>
      </w:r>
      <w:proofErr w:type="spellEnd"/>
      <w:r w:rsidRPr="00164F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1F08" w:rsidRPr="00EF1F08" w:rsidRDefault="00EF1F08" w:rsidP="00EF1F0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7C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icolul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history="1">
        <w:proofErr w:type="spellStart"/>
        <w:r w:rsidRPr="00EF1F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Hotărârea</w:t>
        </w:r>
        <w:proofErr w:type="spellEnd"/>
        <w:r w:rsidRPr="00EF1F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EF1F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Guvernului</w:t>
        </w:r>
        <w:proofErr w:type="spellEnd"/>
        <w:r w:rsidRPr="00EF1F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 xml:space="preserve"> nr. </w:t>
        </w:r>
        <w:proofErr w:type="gramStart"/>
        <w:r w:rsidRPr="00EF1F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229/2009</w:t>
        </w:r>
      </w:hyperlink>
      <w:r w:rsidRPr="00EF1F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F1F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privi</w:t>
      </w:r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nd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reorganizarea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Regiei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Naţionale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Pădurilor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Romsilva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aprobarea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regulamentului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organizare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funcţionare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publicată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Monitorul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Oficial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României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Partea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I, nr.</w:t>
      </w:r>
      <w:proofErr w:type="gram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162 din 16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martie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2009, </w:t>
      </w:r>
      <w:r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 w:rsidRPr="00164F51">
        <w:rPr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F51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F51">
        <w:rPr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164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F51"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se</w:t>
      </w:r>
      <w:proofErr w:type="gram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modifică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completează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după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cum </w:t>
      </w:r>
      <w:proofErr w:type="spellStart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urmează</w:t>
      </w:r>
      <w:proofErr w:type="spellEnd"/>
      <w:r w:rsidRPr="00EF1F08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EF1F08" w:rsidRPr="00FE4398" w:rsidRDefault="00EF1F08" w:rsidP="00EF1F0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E43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1. 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  <w:lang w:val="en-US"/>
        </w:rPr>
        <w:t>Articolul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 se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  <w:lang w:val="en-US"/>
        </w:rPr>
        <w:t>modifică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E4398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proofErr w:type="gramEnd"/>
      <w:r w:rsidRPr="00FE43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  <w:lang w:val="en-US"/>
        </w:rPr>
        <w:t>avea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  <w:lang w:val="en-US"/>
        </w:rPr>
        <w:t>următorul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  <w:lang w:val="en-US"/>
        </w:rPr>
        <w:t>cuprins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EF1F08" w:rsidRPr="006332EA" w:rsidRDefault="00EF1F08" w:rsidP="00C87249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FE439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2355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Art.3 - </w:t>
      </w:r>
      <w:proofErr w:type="spellStart"/>
      <w:r w:rsidRPr="0092355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Patrimoniul</w:t>
      </w:r>
      <w:proofErr w:type="spellEnd"/>
      <w:r w:rsidRPr="0092355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2355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propriu</w:t>
      </w:r>
      <w:proofErr w:type="spellEnd"/>
      <w:r w:rsidRPr="0092355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al </w:t>
      </w:r>
      <w:proofErr w:type="spellStart"/>
      <w:r w:rsidRPr="0092355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Romsilva</w:t>
      </w:r>
      <w:proofErr w:type="spellEnd"/>
      <w:r w:rsidRPr="0092355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92355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înregistrat</w:t>
      </w:r>
      <w:proofErr w:type="spellEnd"/>
      <w:r w:rsidRPr="0092355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2355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în</w:t>
      </w:r>
      <w:proofErr w:type="spellEnd"/>
      <w:r w:rsidRPr="0092355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2355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evidenţele</w:t>
      </w:r>
      <w:proofErr w:type="spellEnd"/>
      <w:r w:rsidRPr="0092355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2355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contabile</w:t>
      </w:r>
      <w:proofErr w:type="spellEnd"/>
      <w:r w:rsidRPr="00923558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la data </w:t>
      </w:r>
      <w:r w:rsidRPr="00337A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de 30 </w:t>
      </w:r>
      <w:proofErr w:type="spellStart"/>
      <w:r w:rsidR="0061564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iunie</w:t>
      </w:r>
      <w:proofErr w:type="spellEnd"/>
      <w:r w:rsidRPr="00337A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20</w:t>
      </w:r>
      <w:r w:rsidR="00C71E40" w:rsidRPr="00337A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19</w:t>
      </w:r>
      <w:r w:rsidRPr="00337A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337A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totalizează</w:t>
      </w:r>
      <w:proofErr w:type="spellEnd"/>
      <w:r w:rsidRPr="00337A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337ABA" w:rsidRPr="00337AB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458.494.519</w:t>
      </w:r>
      <w:r w:rsidRPr="00337AB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lei</w:t>
      </w:r>
      <w:r w:rsidR="006332E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,</w:t>
      </w:r>
      <w:proofErr w:type="spellStart"/>
      <w:r w:rsidR="006332EA" w:rsidRPr="00633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fiind</w:t>
      </w:r>
      <w:proofErr w:type="spellEnd"/>
      <w:r w:rsidR="006332EA" w:rsidRPr="00633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332EA" w:rsidRPr="00633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constituit</w:t>
      </w:r>
      <w:proofErr w:type="spellEnd"/>
      <w:r w:rsidR="006332EA" w:rsidRPr="00633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332EA" w:rsidRPr="00633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prin</w:t>
      </w:r>
      <w:proofErr w:type="spellEnd"/>
      <w:r w:rsidR="006332EA" w:rsidRPr="00633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332EA" w:rsidRPr="00633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însumarea</w:t>
      </w:r>
      <w:proofErr w:type="spellEnd"/>
      <w:r w:rsidR="006332EA" w:rsidRPr="00633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332EA" w:rsidRPr="00633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patrimoniilor</w:t>
      </w:r>
      <w:proofErr w:type="spellEnd"/>
      <w:r w:rsidR="006332EA" w:rsidRPr="00633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332EA" w:rsidRPr="00633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unităţilor</w:t>
      </w:r>
      <w:proofErr w:type="spellEnd"/>
      <w:r w:rsidR="006332EA" w:rsidRPr="00633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din </w:t>
      </w:r>
      <w:proofErr w:type="spellStart"/>
      <w:r w:rsidR="006332EA" w:rsidRPr="00633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structura</w:t>
      </w:r>
      <w:proofErr w:type="spellEnd"/>
      <w:r w:rsidR="006332EA" w:rsidRPr="00633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6332EA" w:rsidRPr="006332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r w:rsidRPr="006332E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.”</w:t>
      </w:r>
    </w:p>
    <w:p w:rsidR="00EF1F08" w:rsidRPr="00FE4398" w:rsidRDefault="00EF1F08" w:rsidP="00C872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439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</w:rPr>
        <w:t>Anexa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FE4398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</w:t>
        </w:r>
      </w:hyperlink>
      <w:proofErr w:type="gramStart"/>
      <w:r w:rsidRPr="00FE4398">
        <w:rPr>
          <w:rFonts w:ascii="Times New Roman" w:hAnsi="Times New Roman" w:cs="Times New Roman"/>
          <w:color w:val="000000"/>
          <w:sz w:val="24"/>
          <w:szCs w:val="24"/>
        </w:rPr>
        <w:t xml:space="preserve">2 se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</w:rPr>
        <w:t>modifică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</w:rPr>
        <w:t>înlocuieşte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</w:rPr>
        <w:t>anexa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</w:rPr>
        <w:t>hotărâre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F1F08" w:rsidRPr="00FE4398" w:rsidRDefault="00EF1F08" w:rsidP="00C872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439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E439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</w:rPr>
        <w:t>anexa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FE4398">
          <w:rPr>
            <w:rFonts w:ascii="Times New Roman" w:hAnsi="Times New Roman" w:cs="Times New Roman"/>
            <w:color w:val="000000" w:themeColor="text1"/>
            <w:sz w:val="24"/>
            <w:szCs w:val="24"/>
          </w:rPr>
          <w:t>nr.</w:t>
        </w:r>
      </w:hyperlink>
      <w:r w:rsidRPr="00FE4398">
        <w:rPr>
          <w:rFonts w:ascii="Times New Roman" w:hAnsi="Times New Roman" w:cs="Times New Roman"/>
          <w:color w:val="000000" w:themeColor="text1"/>
          <w:sz w:val="24"/>
          <w:szCs w:val="24"/>
        </w:rPr>
        <w:t>3,</w:t>
      </w:r>
      <w:r w:rsidRPr="00FE4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</w:rPr>
        <w:t>numărul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</w:rPr>
        <w:t>curent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</w:rPr>
        <w:t xml:space="preserve"> 23 se introduce </w:t>
      </w:r>
      <w:proofErr w:type="gramStart"/>
      <w:r w:rsidRPr="00FE4398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 w:rsidRPr="00FE4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</w:rPr>
        <w:t>nou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</w:rPr>
        <w:t>număr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</w:rPr>
        <w:t>curent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</w:rPr>
        <w:t xml:space="preserve">, nr. </w:t>
      </w:r>
      <w:proofErr w:type="spellStart"/>
      <w:proofErr w:type="gramStart"/>
      <w:r w:rsidRPr="00FE4398">
        <w:rPr>
          <w:rFonts w:ascii="Times New Roman" w:hAnsi="Times New Roman" w:cs="Times New Roman"/>
          <w:color w:val="000000"/>
          <w:sz w:val="24"/>
          <w:szCs w:val="24"/>
        </w:rPr>
        <w:t>crt</w:t>
      </w:r>
      <w:proofErr w:type="spellEnd"/>
      <w:proofErr w:type="gramEnd"/>
      <w:r w:rsidRPr="00FE4398">
        <w:rPr>
          <w:rFonts w:ascii="Times New Roman" w:hAnsi="Times New Roman" w:cs="Times New Roman"/>
          <w:color w:val="000000"/>
          <w:sz w:val="24"/>
          <w:szCs w:val="24"/>
        </w:rPr>
        <w:t xml:space="preserve">. 24, cu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</w:rPr>
        <w:t>următorul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398">
        <w:rPr>
          <w:rFonts w:ascii="Times New Roman" w:hAnsi="Times New Roman" w:cs="Times New Roman"/>
          <w:color w:val="000000"/>
          <w:sz w:val="24"/>
          <w:szCs w:val="24"/>
        </w:rPr>
        <w:t>cuprins</w:t>
      </w:r>
      <w:proofErr w:type="spellEnd"/>
      <w:r w:rsidRPr="00FE439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F1F08" w:rsidRPr="00EF1F08" w:rsidTr="00EF1F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F08" w:rsidRPr="00EF1F08" w:rsidRDefault="00EF1F08" w:rsidP="00EF1F08">
            <w:pPr>
              <w:shd w:val="clear" w:color="auto" w:fill="FFFFFF"/>
              <w:spacing w:after="0" w:line="240" w:lineRule="auto"/>
              <w:ind w:left="2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45739" w:rsidRPr="00EF1F08" w:rsidRDefault="00F45739" w:rsidP="00EF1F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”</w:t>
      </w:r>
    </w:p>
    <w:tbl>
      <w:tblPr>
        <w:tblW w:w="8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"/>
        <w:gridCol w:w="509"/>
        <w:gridCol w:w="3343"/>
        <w:gridCol w:w="4678"/>
      </w:tblGrid>
      <w:tr w:rsidR="00F45739" w:rsidRPr="00483B01" w:rsidTr="00F45739">
        <w:trPr>
          <w:trHeight w:val="15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739" w:rsidRPr="00483B01" w:rsidRDefault="00F45739" w:rsidP="0005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739" w:rsidRPr="00483B01" w:rsidRDefault="00F45739" w:rsidP="0005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739" w:rsidRPr="00483B01" w:rsidRDefault="00F45739" w:rsidP="0005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739" w:rsidRPr="00483B01" w:rsidRDefault="00F45739" w:rsidP="0005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5739" w:rsidRPr="00483B01" w:rsidTr="00F45739">
        <w:trPr>
          <w:trHeight w:val="555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739" w:rsidRPr="00483B01" w:rsidRDefault="00F45739" w:rsidP="0005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5739" w:rsidRPr="00483B01" w:rsidRDefault="00F45739" w:rsidP="000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57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F457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crt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739" w:rsidRPr="00F45739" w:rsidRDefault="00F45739" w:rsidP="00053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F457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Denumirea</w:t>
            </w:r>
            <w:proofErr w:type="spellEnd"/>
            <w:r w:rsidRPr="00F457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direcţiei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739" w:rsidRPr="00F45739" w:rsidRDefault="00F45739" w:rsidP="000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F457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Sediul</w:t>
            </w:r>
            <w:proofErr w:type="spellEnd"/>
            <w:r w:rsidRPr="00F457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7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unităţii</w:t>
            </w:r>
            <w:proofErr w:type="spellEnd"/>
          </w:p>
        </w:tc>
      </w:tr>
      <w:tr w:rsidR="00F45739" w:rsidRPr="00483B01" w:rsidTr="00F45739">
        <w:trPr>
          <w:trHeight w:val="555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739" w:rsidRPr="00483B01" w:rsidRDefault="00F45739" w:rsidP="00053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45739" w:rsidRPr="00483B01" w:rsidRDefault="00F45739" w:rsidP="0005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……………………………………………………………………………………………</w:t>
            </w:r>
          </w:p>
        </w:tc>
      </w:tr>
      <w:tr w:rsidR="00F45739" w:rsidRPr="00933F22" w:rsidTr="00F45739">
        <w:trPr>
          <w:trHeight w:val="780"/>
          <w:jc w:val="center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5739" w:rsidRPr="00933F22" w:rsidRDefault="00F45739" w:rsidP="0005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45739" w:rsidRPr="00933F22" w:rsidRDefault="00D47C94" w:rsidP="0005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F45739" w:rsidRPr="00F457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="00F45739" w:rsidRPr="0093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739" w:rsidRPr="00933F22" w:rsidRDefault="00D47C94" w:rsidP="0005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creştere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exploatare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ameliorare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cabalinelor</w:t>
            </w:r>
            <w:proofErr w:type="spellEnd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739" w:rsidRPr="00933F22" w:rsidRDefault="00227433" w:rsidP="0005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F45739" w:rsidRPr="0093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</w:t>
            </w:r>
            <w:r w:rsidR="00F45739"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45739"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Petricani</w:t>
            </w:r>
            <w:proofErr w:type="spellEnd"/>
            <w:r w:rsidR="00F45739"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9A, </w:t>
            </w:r>
            <w:proofErr w:type="spellStart"/>
            <w:r w:rsidR="00F45739"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="00F45739"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5739"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Bucureşti</w:t>
            </w:r>
            <w:proofErr w:type="spellEnd"/>
            <w:r w:rsidR="00F45739"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cod 023841</w:t>
            </w:r>
            <w:r w:rsidR="00917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="00F45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”</w:t>
            </w:r>
          </w:p>
        </w:tc>
      </w:tr>
    </w:tbl>
    <w:p w:rsidR="00391237" w:rsidRDefault="00391237" w:rsidP="006F6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76D" w:rsidRDefault="0045476D" w:rsidP="006F6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76D" w:rsidRPr="00164F51" w:rsidRDefault="0045476D" w:rsidP="00917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59C" w:rsidRPr="00164F51" w:rsidRDefault="0014259C" w:rsidP="00917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F51">
        <w:rPr>
          <w:rFonts w:ascii="Times New Roman" w:hAnsi="Times New Roman" w:cs="Times New Roman"/>
          <w:b/>
          <w:sz w:val="24"/>
          <w:szCs w:val="24"/>
        </w:rPr>
        <w:t>P</w:t>
      </w:r>
      <w:r w:rsidR="006F6DD4" w:rsidRPr="00164F51">
        <w:rPr>
          <w:rFonts w:ascii="Times New Roman" w:hAnsi="Times New Roman" w:cs="Times New Roman"/>
          <w:b/>
          <w:sz w:val="24"/>
          <w:szCs w:val="24"/>
        </w:rPr>
        <w:t>RIM-MINISTRU</w:t>
      </w:r>
    </w:p>
    <w:p w:rsidR="0076141B" w:rsidRDefault="005F3546" w:rsidP="009171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Ludovic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ORBAN</w:t>
      </w:r>
      <w:bookmarkStart w:id="0" w:name="_GoBack"/>
      <w:bookmarkEnd w:id="0"/>
    </w:p>
    <w:p w:rsidR="00483B01" w:rsidRDefault="00483B01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01" w:rsidRDefault="00483B01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01" w:rsidRDefault="00483B01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01" w:rsidRDefault="00483B01" w:rsidP="00C24D2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47C94" w:rsidRDefault="00D47C94" w:rsidP="00D47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483B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ANEX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Ă</w:t>
      </w:r>
    </w:p>
    <w:p w:rsidR="00D47C94" w:rsidRPr="00AD1CCA" w:rsidRDefault="00D47C94" w:rsidP="00D47C9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996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Ane</w:t>
      </w:r>
      <w:r w:rsidRPr="00AD1C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xa</w:t>
      </w:r>
      <w:proofErr w:type="spellEnd"/>
      <w:r w:rsidRPr="00AD1C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nr. 2 la</w:t>
      </w:r>
      <w:proofErr w:type="spellStart"/>
      <w:r w:rsidRPr="00AD1CCA">
        <w:rPr>
          <w:rFonts w:ascii="Times New Roman" w:hAnsi="Times New Roman" w:cs="Times New Roman"/>
          <w:b/>
          <w:color w:val="000000"/>
          <w:sz w:val="24"/>
          <w:szCs w:val="24"/>
        </w:rPr>
        <w:t>Hotărârea</w:t>
      </w:r>
      <w:proofErr w:type="spellEnd"/>
      <w:r w:rsidRPr="00AD1C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1CCA">
        <w:rPr>
          <w:rFonts w:ascii="Times New Roman" w:hAnsi="Times New Roman" w:cs="Times New Roman"/>
          <w:b/>
          <w:color w:val="000000"/>
          <w:sz w:val="24"/>
          <w:szCs w:val="24"/>
        </w:rPr>
        <w:t>Guvernului</w:t>
      </w:r>
      <w:proofErr w:type="spellEnd"/>
      <w:r w:rsidRPr="00AD1C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AD1CCA">
        <w:rPr>
          <w:rFonts w:ascii="Times New Roman" w:hAnsi="Times New Roman" w:cs="Times New Roman"/>
          <w:b/>
          <w:color w:val="000000"/>
          <w:sz w:val="24"/>
          <w:szCs w:val="24"/>
        </w:rPr>
        <w:t>29/2009)</w:t>
      </w:r>
      <w:r w:rsidRPr="00AD1C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br/>
      </w:r>
    </w:p>
    <w:p w:rsidR="00D47C94" w:rsidRPr="00483B01" w:rsidRDefault="00D47C94" w:rsidP="00D47C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Unităţile</w:t>
      </w:r>
      <w:proofErr w:type="spellEnd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fără</w:t>
      </w:r>
      <w:proofErr w:type="spellEnd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personalitate</w:t>
      </w:r>
      <w:proofErr w:type="spellEnd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juridică</w:t>
      </w:r>
      <w:proofErr w:type="spellEnd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structura</w:t>
      </w:r>
      <w:proofErr w:type="spellEnd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Regiei</w:t>
      </w:r>
      <w:proofErr w:type="spellEnd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Naţionale</w:t>
      </w:r>
      <w:proofErr w:type="spellEnd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Pădurilor</w:t>
      </w:r>
      <w:proofErr w:type="spellEnd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Romsilva</w:t>
      </w:r>
      <w:proofErr w:type="spellEnd"/>
      <w:r w:rsidRPr="00483B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  </w:t>
      </w:r>
    </w:p>
    <w:p w:rsidR="00D47C94" w:rsidRPr="00483B01" w:rsidRDefault="00D47C94" w:rsidP="00D47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8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513"/>
        <w:gridCol w:w="3343"/>
        <w:gridCol w:w="4680"/>
      </w:tblGrid>
      <w:tr w:rsidR="00D47C94" w:rsidRPr="00483B01" w:rsidTr="00347E3F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C94" w:rsidRPr="00483B01" w:rsidTr="00347E3F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crt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Denumirea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direcţiei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Sediul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unităţii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Alba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Alba Iulia,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Alba</w:t>
            </w:r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Arad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Arad,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Arad</w:t>
            </w:r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Argeş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Piteşti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Argeş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Bacău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Hemeiuş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Bacău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Bihor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Oradea,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Bihor</w:t>
            </w:r>
            <w:proofErr w:type="spellEnd"/>
          </w:p>
        </w:tc>
      </w:tr>
      <w:tr w:rsidR="00D47C94" w:rsidRPr="00483B01" w:rsidTr="00347E3F">
        <w:trPr>
          <w:trHeight w:val="3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Bistriţa-Năsăud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Bistriţa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Bistriţa-Năsăud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Botoşani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Botoşani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Botoşani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Braşov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Braşov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Braşov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Brăila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Brăila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Brăila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Buzău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Buzău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Buzău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Caraş-Severin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Reşiţa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Caraş-Severin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Călăraşi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Călăraşi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Călăraşi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Cluj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Cluj-Napoca,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Cluj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Constanţa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Constanţa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Constanţa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Covasna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Sfântu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Gheorghe,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Covasna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Dâmboviţa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Târgovişte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Dâmboviţa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Dolj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Craiova,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Dolj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Galaţi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Galaţi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Galaţi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Giurgiu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Giurgiu,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Giurgiu</w:t>
            </w:r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Gorj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Târgu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Gorj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Harghita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Miercurea-Ciuc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Harghita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Hunedoara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Deva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Hunedoara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Ialomiţa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Slobozia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Ialomiţa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Iaşi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Iaşi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Iaşi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Ilfov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Bucureşti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Maramureş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Mare,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Maramureş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Mehedinţi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Drobeta-Turnu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Severin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Mehedinţi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Mureş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Târgu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Mureş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Mureş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Neamţ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Piatra-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Neamţ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Neamţ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Olt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Slatina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Olt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Prahova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Ploieşti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Prahova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Satu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Mare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Satu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Mare,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Satu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Mare</w:t>
            </w:r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Sălaj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Zalău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Sălaj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Sibiu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Sibiu,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Sibiu</w:t>
            </w:r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Suceava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Suceava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Suceava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Teleorman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Alexandria,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Teleorman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Timiş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Timişoara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Timiş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Tulcea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Tulcea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Tulcea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Vâlcea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Râmnicu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Vâlcea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Vâlcea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Vaslui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Vaslui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Vaslui</w:t>
            </w:r>
            <w:proofErr w:type="spellEnd"/>
          </w:p>
        </w:tc>
      </w:tr>
      <w:tr w:rsidR="00D47C94" w:rsidRPr="00483B01" w:rsidTr="00347E3F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Direcţia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Silvică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Vrancea</w:t>
            </w:r>
            <w:proofErr w:type="spell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C94" w:rsidRPr="00483B01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Focşani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judeţul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Vrancea</w:t>
            </w:r>
            <w:proofErr w:type="spellEnd"/>
          </w:p>
        </w:tc>
      </w:tr>
      <w:tr w:rsidR="00D47C94" w:rsidRPr="00933F22" w:rsidTr="00376B8C">
        <w:trPr>
          <w:trHeight w:val="5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C94" w:rsidRPr="00933F22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47C94" w:rsidRPr="00933F22" w:rsidRDefault="00D47C94" w:rsidP="003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93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C94" w:rsidRPr="00933F22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Complex Silva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C94" w:rsidRPr="00933F22" w:rsidRDefault="00D47C94" w:rsidP="00347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</w:t>
            </w:r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Petricani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9A,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municipiul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Bucureşti</w:t>
            </w:r>
            <w:proofErr w:type="spellEnd"/>
            <w:r w:rsidRPr="0048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cod 023841</w:t>
            </w:r>
          </w:p>
        </w:tc>
      </w:tr>
    </w:tbl>
    <w:p w:rsidR="00D47C94" w:rsidRPr="00483B01" w:rsidRDefault="00D47C94" w:rsidP="00D47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47C94" w:rsidRPr="00933F22" w:rsidRDefault="00D47C94" w:rsidP="00D47C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01" w:rsidRDefault="00483B01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01" w:rsidRPr="00483B01" w:rsidRDefault="00483B01" w:rsidP="00483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83B01" w:rsidRPr="00933F22" w:rsidRDefault="00483B01" w:rsidP="00E130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3B01" w:rsidRPr="00933F22" w:rsidSect="00010DAD">
      <w:pgSz w:w="11906" w:h="16838"/>
      <w:pgMar w:top="990" w:right="991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249"/>
    <w:rsid w:val="00010DAD"/>
    <w:rsid w:val="00011AF4"/>
    <w:rsid w:val="00093E51"/>
    <w:rsid w:val="000A3E57"/>
    <w:rsid w:val="000D1C73"/>
    <w:rsid w:val="0014259C"/>
    <w:rsid w:val="00157FB3"/>
    <w:rsid w:val="00164F51"/>
    <w:rsid w:val="00165AD8"/>
    <w:rsid w:val="00171896"/>
    <w:rsid w:val="00227433"/>
    <w:rsid w:val="00233E9C"/>
    <w:rsid w:val="002A0441"/>
    <w:rsid w:val="003223C7"/>
    <w:rsid w:val="00337ABA"/>
    <w:rsid w:val="00340949"/>
    <w:rsid w:val="0035231D"/>
    <w:rsid w:val="00376B8C"/>
    <w:rsid w:val="00386FD9"/>
    <w:rsid w:val="00391237"/>
    <w:rsid w:val="003A424F"/>
    <w:rsid w:val="003E7C10"/>
    <w:rsid w:val="0045476D"/>
    <w:rsid w:val="00483B01"/>
    <w:rsid w:val="004F24DB"/>
    <w:rsid w:val="004F705F"/>
    <w:rsid w:val="0056344F"/>
    <w:rsid w:val="00566364"/>
    <w:rsid w:val="005E194E"/>
    <w:rsid w:val="005F3546"/>
    <w:rsid w:val="0061320A"/>
    <w:rsid w:val="00615645"/>
    <w:rsid w:val="006332EA"/>
    <w:rsid w:val="00690AD9"/>
    <w:rsid w:val="006D1C22"/>
    <w:rsid w:val="006F6DD4"/>
    <w:rsid w:val="00745F0B"/>
    <w:rsid w:val="00751A9E"/>
    <w:rsid w:val="00757990"/>
    <w:rsid w:val="0076141B"/>
    <w:rsid w:val="007A6962"/>
    <w:rsid w:val="007F00B4"/>
    <w:rsid w:val="009171FF"/>
    <w:rsid w:val="00917891"/>
    <w:rsid w:val="00923558"/>
    <w:rsid w:val="00933F22"/>
    <w:rsid w:val="00965269"/>
    <w:rsid w:val="009F213E"/>
    <w:rsid w:val="00A37AB9"/>
    <w:rsid w:val="00A96B85"/>
    <w:rsid w:val="00AD1CCA"/>
    <w:rsid w:val="00AF3870"/>
    <w:rsid w:val="00B22565"/>
    <w:rsid w:val="00B23491"/>
    <w:rsid w:val="00B60019"/>
    <w:rsid w:val="00BC527F"/>
    <w:rsid w:val="00BD1C94"/>
    <w:rsid w:val="00C24D28"/>
    <w:rsid w:val="00C2554C"/>
    <w:rsid w:val="00C71E40"/>
    <w:rsid w:val="00C87249"/>
    <w:rsid w:val="00CF55E3"/>
    <w:rsid w:val="00D43414"/>
    <w:rsid w:val="00D47C94"/>
    <w:rsid w:val="00DC7110"/>
    <w:rsid w:val="00DE3FB3"/>
    <w:rsid w:val="00DE67D1"/>
    <w:rsid w:val="00DE692B"/>
    <w:rsid w:val="00E01F16"/>
    <w:rsid w:val="00E130E8"/>
    <w:rsid w:val="00E22E11"/>
    <w:rsid w:val="00E53FF5"/>
    <w:rsid w:val="00ED42D3"/>
    <w:rsid w:val="00EF1F08"/>
    <w:rsid w:val="00F017A6"/>
    <w:rsid w:val="00F067D5"/>
    <w:rsid w:val="00F45739"/>
    <w:rsid w:val="00F7054E"/>
    <w:rsid w:val="00F822BA"/>
    <w:rsid w:val="00F874D1"/>
    <w:rsid w:val="00FE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">
    <w:name w:val="l5def1"/>
    <w:basedOn w:val="DefaultParagraphFont"/>
    <w:rsid w:val="0076141B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76141B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E53FF5"/>
    <w:rPr>
      <w:b/>
      <w:bCs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F1F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1F08"/>
    <w:rPr>
      <w:color w:val="605E5C"/>
      <w:shd w:val="clear" w:color="auto" w:fill="E1DFDD"/>
    </w:rPr>
  </w:style>
  <w:style w:type="paragraph" w:customStyle="1" w:styleId="spar">
    <w:name w:val="s_par"/>
    <w:basedOn w:val="Normal"/>
    <w:rsid w:val="00EF1F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9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ct:121952%20782093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ct:121952%20782093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3B21-0DC0-4309-B344-7295759B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UNGUREANU</dc:creator>
  <cp:lastModifiedBy>radu.miloevici</cp:lastModifiedBy>
  <cp:revision>2</cp:revision>
  <cp:lastPrinted>2019-02-14T11:36:00Z</cp:lastPrinted>
  <dcterms:created xsi:type="dcterms:W3CDTF">2019-12-30T12:34:00Z</dcterms:created>
  <dcterms:modified xsi:type="dcterms:W3CDTF">2019-12-30T12:34:00Z</dcterms:modified>
</cp:coreProperties>
</file>