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76" w:rsidRDefault="00EF1076" w:rsidP="00EF1076">
      <w:pPr>
        <w:ind w:left="2160" w:firstLine="720"/>
        <w:outlineLvl w:val="0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EF1076" w:rsidRDefault="00EF1076" w:rsidP="00EF1076">
      <w:pPr>
        <w:ind w:left="2160" w:firstLine="720"/>
        <w:outlineLvl w:val="0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D3570C" w:rsidRPr="002A05E7" w:rsidRDefault="00D3570C" w:rsidP="00EF1076">
      <w:pPr>
        <w:ind w:left="2160" w:firstLine="720"/>
        <w:outlineLvl w:val="0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2A05E7">
        <w:rPr>
          <w:rFonts w:ascii="Times New Roman" w:hAnsi="Times New Roman"/>
          <w:b/>
          <w:color w:val="auto"/>
          <w:sz w:val="24"/>
          <w:szCs w:val="24"/>
          <w:lang w:val="ro-RO"/>
        </w:rPr>
        <w:t>NOTĂ DE FUNDAMENTARE</w:t>
      </w:r>
    </w:p>
    <w:p w:rsidR="00D3570C" w:rsidRDefault="00D3570C" w:rsidP="00294CAD">
      <w:pPr>
        <w:jc w:val="center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EF1076" w:rsidRDefault="00EF1076" w:rsidP="00294CAD">
      <w:pPr>
        <w:jc w:val="center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EF1076" w:rsidRPr="002A05E7" w:rsidRDefault="00EF1076" w:rsidP="00294CAD">
      <w:pPr>
        <w:jc w:val="center"/>
        <w:rPr>
          <w:rFonts w:ascii="Times New Roman" w:hAnsi="Times New Roman"/>
          <w:color w:val="auto"/>
          <w:sz w:val="24"/>
          <w:szCs w:val="24"/>
          <w:lang w:val="ro-RO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610"/>
        <w:gridCol w:w="44"/>
        <w:gridCol w:w="1882"/>
        <w:gridCol w:w="993"/>
        <w:gridCol w:w="992"/>
        <w:gridCol w:w="992"/>
        <w:gridCol w:w="992"/>
        <w:gridCol w:w="853"/>
        <w:gridCol w:w="1274"/>
      </w:tblGrid>
      <w:tr w:rsidR="002A05E7" w:rsidRPr="000714BA" w:rsidTr="00C56848">
        <w:trPr>
          <w:trHeight w:val="274"/>
        </w:trPr>
        <w:tc>
          <w:tcPr>
            <w:tcW w:w="10661" w:type="dxa"/>
            <w:gridSpan w:val="10"/>
          </w:tcPr>
          <w:p w:rsidR="000A6F49" w:rsidRPr="002A05E7" w:rsidRDefault="000A6F49" w:rsidP="00294CAD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D3570C" w:rsidRPr="002A05E7" w:rsidRDefault="00D3570C" w:rsidP="00294CAD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1: Titlul proiectului de act normativ</w:t>
            </w:r>
          </w:p>
          <w:p w:rsidR="000A6F49" w:rsidRPr="002A05E7" w:rsidRDefault="000A6F49" w:rsidP="00294CAD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</w:tc>
      </w:tr>
      <w:tr w:rsidR="002A05E7" w:rsidRPr="000714BA" w:rsidTr="00C56848">
        <w:trPr>
          <w:trHeight w:val="503"/>
        </w:trPr>
        <w:tc>
          <w:tcPr>
            <w:tcW w:w="10661" w:type="dxa"/>
            <w:gridSpan w:val="10"/>
          </w:tcPr>
          <w:p w:rsidR="00294CAD" w:rsidRPr="002A05E7" w:rsidRDefault="00294CAD" w:rsidP="00E51CC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003C45" w:rsidRDefault="00D3570C" w:rsidP="00EB7FC0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HOTĂRÂRE </w:t>
            </w:r>
          </w:p>
          <w:p w:rsidR="00EF1076" w:rsidRDefault="00BA7A5B" w:rsidP="00EF1076">
            <w:pPr>
              <w:tabs>
                <w:tab w:val="left" w:pos="6146"/>
              </w:tabs>
              <w:ind w:left="-108" w:firstLine="36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BA7A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pentru aprobarea Protocolul</w:t>
            </w:r>
            <w:r w:rsidR="00EF107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ui</w:t>
            </w:r>
            <w:r w:rsidR="008A7BA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 Sesiunii a  </w:t>
            </w:r>
            <w:r w:rsidRPr="00BA7A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X</w:t>
            </w:r>
            <w:r w:rsidR="001F0EE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I</w:t>
            </w:r>
            <w:r w:rsidRPr="00BA7A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-a a </w:t>
            </w:r>
            <w:r w:rsidR="001F0EE9" w:rsidRPr="00BA7A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Împuterniciților</w:t>
            </w:r>
            <w:r w:rsidR="00A9182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,</w:t>
            </w:r>
            <w:r w:rsidRPr="00BA7A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 semnat la </w:t>
            </w:r>
            <w:r w:rsidR="007A5D6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Suceava</w:t>
            </w:r>
            <w:r w:rsidRPr="00BA7A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, </w:t>
            </w:r>
            <w:r w:rsidR="007A5D6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România</w:t>
            </w:r>
            <w:r w:rsidRPr="00BA7A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, la </w:t>
            </w:r>
            <w:r w:rsidR="007A5D6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12</w:t>
            </w:r>
            <w:r w:rsidR="008A7BA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 </w:t>
            </w:r>
            <w:r w:rsidR="007A5D6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decembrie 2019</w:t>
            </w:r>
            <w:r w:rsidR="00A9182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,</w:t>
            </w:r>
            <w:r w:rsidR="00EF107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 </w:t>
            </w:r>
            <w:r w:rsidRPr="00BA7A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pentru aplicarea Acordului între Guvernul României şi Guvernul Ucrainei</w:t>
            </w:r>
            <w:r w:rsidR="00A9182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 </w:t>
            </w:r>
            <w:r w:rsidRPr="00BA7A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privind cooperarea în domeniul gospodăririi apelor de frontieră,</w:t>
            </w:r>
            <w:r w:rsidR="00A9182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 </w:t>
            </w:r>
          </w:p>
          <w:p w:rsidR="00EB7FC0" w:rsidRPr="002A05E7" w:rsidRDefault="00BA7A5B" w:rsidP="00EF1076">
            <w:pPr>
              <w:tabs>
                <w:tab w:val="left" w:pos="6146"/>
              </w:tabs>
              <w:ind w:left="-108" w:firstLine="36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BA7A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  <w:t>semnat la Galaţi, la 30 septembrie 1997</w:t>
            </w:r>
          </w:p>
          <w:p w:rsidR="00D3570C" w:rsidRPr="002A05E7" w:rsidRDefault="00D3570C" w:rsidP="00003C45">
            <w:pP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ro-RO"/>
              </w:rPr>
            </w:pPr>
          </w:p>
        </w:tc>
      </w:tr>
      <w:tr w:rsidR="00C21F65" w:rsidRPr="00C21F65" w:rsidTr="00C56848">
        <w:trPr>
          <w:trHeight w:val="503"/>
        </w:trPr>
        <w:tc>
          <w:tcPr>
            <w:tcW w:w="10661" w:type="dxa"/>
            <w:gridSpan w:val="10"/>
          </w:tcPr>
          <w:p w:rsidR="00C21F65" w:rsidRDefault="00C21F65" w:rsidP="00C21F65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C21F65" w:rsidRPr="00C21F65" w:rsidRDefault="00C21F65" w:rsidP="00C21F65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proofErr w:type="spellStart"/>
            <w:r w:rsidRPr="00C21F65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</w:t>
            </w:r>
            <w:proofErr w:type="spellEnd"/>
            <w:r w:rsidRPr="00C21F65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 a 2 - a: Motivul emiterii actului normativ</w:t>
            </w:r>
          </w:p>
          <w:p w:rsidR="00C21F65" w:rsidRPr="002A05E7" w:rsidRDefault="00C21F65" w:rsidP="00E51CC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</w:tc>
      </w:tr>
      <w:tr w:rsidR="002A05E7" w:rsidRPr="000714BA" w:rsidTr="00C56848">
        <w:trPr>
          <w:trHeight w:val="503"/>
        </w:trPr>
        <w:tc>
          <w:tcPr>
            <w:tcW w:w="2683" w:type="dxa"/>
            <w:gridSpan w:val="3"/>
          </w:tcPr>
          <w:p w:rsidR="00D3570C" w:rsidRPr="002A05E7" w:rsidRDefault="00D3570C" w:rsidP="00E51CC6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 Descrierea situaţiei actuale</w:t>
            </w:r>
          </w:p>
        </w:tc>
        <w:tc>
          <w:tcPr>
            <w:tcW w:w="7978" w:type="dxa"/>
            <w:gridSpan w:val="7"/>
          </w:tcPr>
          <w:p w:rsidR="001A48C9" w:rsidRDefault="00EB7FC0" w:rsidP="00EF1076">
            <w:pPr>
              <w:pStyle w:val="BodyText"/>
              <w:spacing w:line="276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ro-RO"/>
              </w:rPr>
              <w:t xml:space="preserve">    </w:t>
            </w:r>
            <w:r w:rsidR="00BA7A5B" w:rsidRPr="00BA7A5B">
              <w:rPr>
                <w:sz w:val="24"/>
                <w:szCs w:val="24"/>
                <w:lang w:val="ro-RO"/>
              </w:rPr>
              <w:t xml:space="preserve">Colaborarea în domeniul gospodăririi apelor cu Ucraina se desfăşoară în baza </w:t>
            </w:r>
            <w:r w:rsidR="00BA7A5B" w:rsidRPr="00BA7A5B">
              <w:rPr>
                <w:bCs/>
                <w:i/>
                <w:sz w:val="24"/>
                <w:szCs w:val="24"/>
                <w:lang w:val="ro-RO"/>
              </w:rPr>
              <w:t>Acordului între Guvernul României şi Guvernul Ucrainei, privind cooperarea în domeniul go</w:t>
            </w:r>
            <w:r w:rsidR="00EF1076">
              <w:rPr>
                <w:bCs/>
                <w:i/>
                <w:sz w:val="24"/>
                <w:szCs w:val="24"/>
                <w:lang w:val="ro-RO"/>
              </w:rPr>
              <w:t>spodăririi apelor de frontieră,</w:t>
            </w:r>
            <w:r w:rsidR="00BA7A5B" w:rsidRPr="00BA7A5B">
              <w:rPr>
                <w:bCs/>
                <w:i/>
                <w:sz w:val="24"/>
                <w:szCs w:val="24"/>
                <w:lang w:val="ro-RO"/>
              </w:rPr>
              <w:t xml:space="preserve"> </w:t>
            </w:r>
            <w:r w:rsidR="00BA7A5B" w:rsidRPr="00BA7A5B">
              <w:rPr>
                <w:sz w:val="24"/>
                <w:szCs w:val="24"/>
                <w:lang w:val="pt-BR"/>
              </w:rPr>
              <w:t>semnat la Galaţi</w:t>
            </w:r>
            <w:r w:rsidR="00BA7A5B" w:rsidRPr="00BA7A5B">
              <w:rPr>
                <w:b/>
                <w:sz w:val="24"/>
                <w:szCs w:val="24"/>
                <w:lang w:val="pt-BR"/>
              </w:rPr>
              <w:t xml:space="preserve">, </w:t>
            </w:r>
            <w:r w:rsidR="00BA7A5B" w:rsidRPr="00BA7A5B">
              <w:rPr>
                <w:sz w:val="24"/>
                <w:szCs w:val="24"/>
                <w:lang w:val="pt-BR"/>
              </w:rPr>
              <w:t>la 30 septembrie 1997, ratificat prin Legea nr. 16/1999.</w:t>
            </w:r>
          </w:p>
          <w:p w:rsidR="00BA7A5B" w:rsidRPr="00BA7A5B" w:rsidRDefault="001A48C9" w:rsidP="00EF1076">
            <w:pPr>
              <w:pStyle w:val="BodyText"/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pt-BR"/>
              </w:rPr>
              <w:t xml:space="preserve">   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Având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în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vedere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poziţia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de stat aval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în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raport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cursurile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apă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Tisa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, Siret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şi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Prut,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colaborarea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cu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Ucraina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este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deosebit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importantă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. De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asemenea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Acordul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asigură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baza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legală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pentru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discutarea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problemelor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privind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calitatea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şi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cantitatea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apelor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pe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sectorul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comun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frontieră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al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fluviului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BA7A5B" w:rsidRPr="00BA7A5B">
              <w:rPr>
                <w:sz w:val="24"/>
                <w:szCs w:val="24"/>
                <w:lang w:val="fr-FR"/>
              </w:rPr>
              <w:t>Dunărea</w:t>
            </w:r>
            <w:proofErr w:type="spellEnd"/>
            <w:r w:rsidR="00BA7A5B" w:rsidRPr="00BA7A5B">
              <w:rPr>
                <w:sz w:val="24"/>
                <w:szCs w:val="24"/>
                <w:lang w:val="fr-FR"/>
              </w:rPr>
              <w:t>.</w:t>
            </w:r>
          </w:p>
          <w:p w:rsidR="00BA7A5B" w:rsidRPr="00BA7A5B" w:rsidRDefault="00693940" w:rsidP="00EF107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bidi="ar-SA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bidi="ar-SA"/>
              </w:rPr>
              <w:t xml:space="preserve">    </w:t>
            </w:r>
            <w:r w:rsidR="00BA7A5B" w:rsidRPr="00BA7A5B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bidi="ar-SA"/>
              </w:rPr>
              <w:t xml:space="preserve">În conformitate cu  prevederile art. 16 pct. 2 al Acordului, </w:t>
            </w:r>
            <w:r w:rsidR="00BA7A5B" w:rsidRPr="00BA7A5B">
              <w:rPr>
                <w:rFonts w:ascii="Times New Roman" w:eastAsia="Times New Roman" w:hAnsi="Times New Roman"/>
                <w:color w:val="auto"/>
                <w:sz w:val="24"/>
                <w:szCs w:val="24"/>
                <w:lang w:val="pt-BR" w:bidi="ar-SA"/>
              </w:rPr>
              <w:t>ratificat prin Legea nr. 16/1999, în cadrul Sesiunii se</w:t>
            </w:r>
            <w:r w:rsidR="00BA7A5B" w:rsidRPr="00BA7A5B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bidi="ar-SA"/>
              </w:rPr>
              <w:t xml:space="preserve"> ex</w:t>
            </w:r>
            <w:r w:rsidR="001F0EE9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bidi="ar-SA"/>
              </w:rPr>
              <w:t>aminează problemele activități</w:t>
            </w:r>
            <w:r w:rsidR="001F0EE9" w:rsidRPr="00BA7A5B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bidi="ar-SA"/>
              </w:rPr>
              <w:t>lor</w:t>
            </w:r>
            <w:r w:rsidR="00BA7A5B" w:rsidRPr="00BA7A5B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bidi="ar-SA"/>
              </w:rPr>
              <w:t xml:space="preserve"> privind aplicarea prevederilor Acordului.</w:t>
            </w:r>
          </w:p>
          <w:p w:rsidR="00BA7A5B" w:rsidRDefault="00693940" w:rsidP="00EF107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bidi="ar-SA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 w:bidi="ar-SA"/>
              </w:rPr>
              <w:t xml:space="preserve">    </w:t>
            </w:r>
            <w:r w:rsidR="007A5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bidi="ar-SA"/>
              </w:rPr>
              <w:t xml:space="preserve">Sesiunea a  </w:t>
            </w:r>
            <w:r w:rsidR="008A7B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bidi="ar-SA"/>
              </w:rPr>
              <w:t>X</w:t>
            </w:r>
            <w:r w:rsidR="007A5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bidi="ar-SA"/>
              </w:rPr>
              <w:t>I</w:t>
            </w:r>
            <w:r w:rsidR="00BA7A5B" w:rsidRPr="00EF10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bidi="ar-SA"/>
              </w:rPr>
              <w:t xml:space="preserve">-a a Împuterniciţilor, în cadrul cooperării bilaterale româno-ucrainene pentru aplicarea prevederilor </w:t>
            </w:r>
            <w:r w:rsidR="00BA7A5B" w:rsidRPr="00EF1076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val="ro-RO" w:bidi="ar-SA"/>
              </w:rPr>
              <w:t xml:space="preserve">Acordului între Guvernul României şi Guvernul Ucrainei, privind cooperarea în domeniul gospodăririi apelor de frontieră,  </w:t>
            </w:r>
            <w:r w:rsidR="00BA7A5B" w:rsidRPr="00EF10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BR" w:bidi="ar-SA"/>
              </w:rPr>
              <w:t>semnat la Galaţi</w:t>
            </w:r>
            <w:r w:rsidR="00BA7A5B" w:rsidRPr="00EF107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pt-BR" w:bidi="ar-SA"/>
              </w:rPr>
              <w:t xml:space="preserve">, </w:t>
            </w:r>
            <w:r w:rsidR="00BA7A5B" w:rsidRPr="00EF10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t-BR" w:bidi="ar-SA"/>
              </w:rPr>
              <w:t>la 30 septembrie 1997,</w:t>
            </w:r>
            <w:r w:rsidR="00BA7A5B" w:rsidRPr="00EF10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bidi="ar-SA"/>
              </w:rPr>
              <w:t xml:space="preserve"> a avut loc la </w:t>
            </w:r>
            <w:r w:rsidR="007A5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bidi="ar-SA"/>
              </w:rPr>
              <w:t>Suceava, România în perioada 10</w:t>
            </w:r>
            <w:r w:rsidR="008A7B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bidi="ar-SA"/>
              </w:rPr>
              <w:t>-1</w:t>
            </w:r>
            <w:r w:rsidR="00BA7A5B" w:rsidRPr="00EF10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bidi="ar-SA"/>
              </w:rPr>
              <w:t xml:space="preserve">2 </w:t>
            </w:r>
            <w:r w:rsidR="007A5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bidi="ar-SA"/>
              </w:rPr>
              <w:t>decembrie</w:t>
            </w:r>
            <w:r w:rsidR="008A7B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bidi="ar-SA"/>
              </w:rPr>
              <w:t xml:space="preserve"> 201</w:t>
            </w:r>
            <w:r w:rsidR="007A5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bidi="ar-SA"/>
              </w:rPr>
              <w:t>9</w:t>
            </w:r>
            <w:r w:rsidR="00BA7A5B" w:rsidRPr="00EF10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bidi="ar-SA"/>
              </w:rPr>
              <w:t>.</w:t>
            </w:r>
          </w:p>
          <w:p w:rsidR="003E3497" w:rsidRPr="00EF1076" w:rsidRDefault="00420993" w:rsidP="00EF107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bidi="ar-SA"/>
              </w:rPr>
              <w:t>Prin înțelegerea dintre Păr</w:t>
            </w:r>
            <w:r w:rsidR="003E3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 w:bidi="ar-SA"/>
              </w:rPr>
              <w:t>ți, aceasta a fost condusă de Locțiitorii Împuterniciților.</w:t>
            </w:r>
          </w:p>
          <w:p w:rsidR="004313FD" w:rsidRPr="004313FD" w:rsidRDefault="00EF1076" w:rsidP="00EF1076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   </w:t>
            </w:r>
            <w:r w:rsidR="00542B1E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Sesiunea a </w:t>
            </w:r>
            <w:r w:rsidR="004313F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X</w:t>
            </w:r>
            <w:r w:rsidR="004313FD" w:rsidRPr="004313F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-a a </w:t>
            </w:r>
            <w:r w:rsidR="001F0EE9" w:rsidRPr="004313F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Împuterniciților</w:t>
            </w:r>
            <w:r w:rsidR="004313FD" w:rsidRPr="004313F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, în cadrul cooperării bilaterale româno-ucrainene pentru aplicarea prevederilor </w:t>
            </w:r>
            <w:r w:rsidR="004313FD" w:rsidRPr="004313FD">
              <w:rPr>
                <w:rFonts w:ascii="Times New Roman" w:hAnsi="Times New Roman"/>
                <w:bCs/>
                <w:i/>
                <w:color w:val="auto"/>
                <w:sz w:val="24"/>
                <w:szCs w:val="24"/>
                <w:lang w:val="ro-RO"/>
              </w:rPr>
              <w:t xml:space="preserve">Acordului între Guvernul României şi Guvernul Ucrainei, privind cooperarea în domeniul gospodăririi apelor de frontieră, </w:t>
            </w:r>
            <w:r w:rsidR="004313FD" w:rsidRPr="004313FD"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  <w:t>semnat la Galaţi</w:t>
            </w:r>
            <w:r w:rsidR="004313FD" w:rsidRPr="004313FD">
              <w:rPr>
                <w:rFonts w:ascii="Times New Roman" w:hAnsi="Times New Roman"/>
                <w:b/>
                <w:color w:val="auto"/>
                <w:sz w:val="24"/>
                <w:szCs w:val="24"/>
                <w:lang w:val="pt-BR"/>
              </w:rPr>
              <w:t xml:space="preserve">, </w:t>
            </w:r>
            <w:r w:rsidR="004313FD" w:rsidRPr="004313FD"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  <w:t>la 30 septembrie 1997,</w:t>
            </w:r>
            <w:r w:rsidR="004313F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a avut loc la </w:t>
            </w:r>
            <w:r w:rsidR="008A7BA4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Ismail</w:t>
            </w:r>
            <w:r w:rsidR="004313F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, </w:t>
            </w:r>
            <w:r w:rsidR="008A7BA4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Ucraina</w:t>
            </w:r>
            <w:r w:rsidR="004313F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,</w:t>
            </w:r>
            <w:r w:rsidR="004313FD" w:rsidRPr="004313F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în perioada </w:t>
            </w:r>
            <w:r w:rsidR="008A7BA4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3-4</w:t>
            </w:r>
            <w:r w:rsidR="004313FD" w:rsidRPr="004313F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4313F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octombrie 201</w:t>
            </w:r>
            <w:r w:rsidR="008A7BA4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8</w:t>
            </w:r>
            <w:r w:rsidR="004313FD" w:rsidRPr="004313F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</w:t>
            </w:r>
          </w:p>
          <w:p w:rsidR="00EB7FC0" w:rsidRPr="002A05E7" w:rsidRDefault="004313FD" w:rsidP="00EF1076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s-ES"/>
              </w:rPr>
            </w:pPr>
            <w:r w:rsidRPr="004313F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   Conform art.16, pct.7 din Acord, </w:t>
            </w:r>
            <w:r w:rsidRPr="004313FD"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  <w:t xml:space="preserve">ratificat prin Legea nr. 16/1999, </w:t>
            </w:r>
            <w:r w:rsidRPr="004313F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Protocolul sesiunii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Î</w:t>
            </w:r>
            <w:r w:rsidRPr="004313F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mputerniciţilor se aprobă de</w:t>
            </w:r>
            <w:r w:rsidR="00B25DBE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către organele competente ale P</w:t>
            </w:r>
            <w:r w:rsidRPr="004313F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ărţilor şi intră în vigoare din momentul schimbului comunicării privind aprobarea lor.</w:t>
            </w:r>
          </w:p>
        </w:tc>
      </w:tr>
      <w:tr w:rsidR="002A05E7" w:rsidRPr="000714BA" w:rsidTr="00C56848">
        <w:trPr>
          <w:trHeight w:val="503"/>
        </w:trPr>
        <w:tc>
          <w:tcPr>
            <w:tcW w:w="2683" w:type="dxa"/>
            <w:gridSpan w:val="3"/>
          </w:tcPr>
          <w:p w:rsidR="00D3570C" w:rsidRDefault="00D3570C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ro-RO"/>
              </w:rPr>
              <w:t>1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În cazul proiectelor de acte normative care transpun legislaţie comunitară sau creează 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cadrul pentru aplicarea directă a acesteia</w:t>
            </w:r>
          </w:p>
          <w:p w:rsidR="002A05E7" w:rsidRPr="002A05E7" w:rsidRDefault="002A05E7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7978" w:type="dxa"/>
            <w:gridSpan w:val="7"/>
          </w:tcPr>
          <w:p w:rsidR="00D3570C" w:rsidRPr="002A05E7" w:rsidRDefault="00003C45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noProof/>
                <w:color w:val="auto"/>
                <w:sz w:val="24"/>
                <w:szCs w:val="24"/>
                <w:lang w:val="ro-RO"/>
              </w:rPr>
              <w:lastRenderedPageBreak/>
              <w:t xml:space="preserve">Proiectul de act normativ nu se referă la acest subiect. </w:t>
            </w:r>
          </w:p>
        </w:tc>
      </w:tr>
      <w:tr w:rsidR="002A05E7" w:rsidRPr="000714BA" w:rsidTr="00C56848">
        <w:tc>
          <w:tcPr>
            <w:tcW w:w="2683" w:type="dxa"/>
            <w:gridSpan w:val="3"/>
          </w:tcPr>
          <w:p w:rsidR="00D3570C" w:rsidRPr="002A05E7" w:rsidRDefault="00D3570C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Schimbări preconizate</w:t>
            </w:r>
          </w:p>
        </w:tc>
        <w:tc>
          <w:tcPr>
            <w:tcW w:w="7978" w:type="dxa"/>
            <w:gridSpan w:val="7"/>
          </w:tcPr>
          <w:p w:rsidR="002A05E7" w:rsidRDefault="00A831C1" w:rsidP="00330ECC">
            <w:pPr>
              <w:spacing w:after="12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Hotărârile adoptate prin consens, în baza discuțiilor purtate în conformitate cu ordinea de zi a întâlnirii, se referă, în principal, la:</w:t>
            </w:r>
          </w:p>
          <w:p w:rsidR="00693146" w:rsidRDefault="00693146" w:rsidP="00EB7FC0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69314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a) aprobarea </w:t>
            </w:r>
            <w:proofErr w:type="spellStart"/>
            <w:r w:rsidRPr="0069314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activităţilor</w:t>
            </w:r>
            <w:proofErr w:type="spellEnd"/>
            <w:r w:rsidRPr="0069314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care au a</w:t>
            </w:r>
            <w:r w:rsidR="001F0EE9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vut loc în cadrul întâlnirilor</w:t>
            </w:r>
            <w:r w:rsidR="00420993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420993" w:rsidRPr="00420993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Împuterniciților,</w:t>
            </w:r>
            <w:r w:rsidR="00420993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Locțiitorilor</w:t>
            </w:r>
            <w:r w:rsidR="00420993" w:rsidRPr="00420993">
              <w:rPr>
                <w:lang w:val="ro-RO"/>
              </w:rPr>
              <w:t xml:space="preserve"> </w:t>
            </w:r>
            <w:r w:rsidR="00420993" w:rsidRPr="00420993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Împuterniciților</w:t>
            </w:r>
            <w:r w:rsidR="00420993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,</w:t>
            </w:r>
            <w:r w:rsidRPr="0069314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420993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secretarilor, </w:t>
            </w:r>
            <w:r w:rsidRPr="0069314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grupelor de lucru </w:t>
            </w:r>
            <w:proofErr w:type="spellStart"/>
            <w:r w:rsidRPr="0069314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şi</w:t>
            </w:r>
            <w:proofErr w:type="spellEnd"/>
            <w:r w:rsidRPr="0069314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69314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experţi</w:t>
            </w:r>
            <w:proofErr w:type="spellEnd"/>
            <w:r w:rsidRPr="0069314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pentru examinarea problemelor de interes comun în sectorul de frontieră a râurilor Tisa, Siret </w:t>
            </w:r>
            <w:proofErr w:type="spellStart"/>
            <w:r w:rsidRPr="0069314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şi</w:t>
            </w:r>
            <w:proofErr w:type="spellEnd"/>
            <w:r w:rsidRPr="0069314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Prut </w:t>
            </w:r>
            <w:proofErr w:type="spellStart"/>
            <w:r w:rsidRPr="0069314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şi</w:t>
            </w:r>
            <w:proofErr w:type="spellEnd"/>
            <w:r w:rsidRPr="0069314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fluviului Dunărea;</w:t>
            </w:r>
          </w:p>
          <w:p w:rsidR="00693146" w:rsidRDefault="00953BBE" w:rsidP="00693146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</w:t>
            </w:r>
            <w:r w:rsidR="00693146" w:rsidRPr="0069314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) aprobarea </w:t>
            </w:r>
            <w:r w:rsidR="007A5D6E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programului de lucru pe anul 2020</w:t>
            </w:r>
            <w:r w:rsidR="00693146" w:rsidRPr="0069314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pentru realizarea prevederilor Acordului;</w:t>
            </w:r>
          </w:p>
          <w:p w:rsidR="00882BF3" w:rsidRDefault="00330ECC" w:rsidP="00330ECC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</w:t>
            </w:r>
            <w:r w:rsidRPr="00330EC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)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aprobarea activităţilor pentru</w:t>
            </w:r>
            <w:r w:rsidRPr="00330EC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puner</w:t>
            </w:r>
            <w:r w:rsidR="007A5D6E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ea în aplicare a Regulamentelor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330EC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privind apărarea împotriva inundaţiilor produse de cursurile de apă şi de apele interne; privind schimbul de date meteorologice şi hidrologice; privind modul de evaluare a </w:t>
            </w:r>
            <w:r w:rsidR="007A5D6E" w:rsidRPr="00330EC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calității</w:t>
            </w:r>
            <w:r w:rsidRPr="00330EC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apelor de frontieră;</w:t>
            </w:r>
          </w:p>
          <w:p w:rsidR="007A5D6E" w:rsidRPr="007A5D6E" w:rsidRDefault="007A5D6E" w:rsidP="00330ECC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d) aprobarea Regulamentelor reactualizate</w:t>
            </w:r>
            <w:r w:rsidRPr="007A5D6E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;</w:t>
            </w:r>
          </w:p>
          <w:p w:rsidR="00330ECC" w:rsidRDefault="007A5D6E" w:rsidP="00693146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7A5D6E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</w:t>
            </w:r>
            <w:r w:rsidR="00330EC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) </w:t>
            </w:r>
            <w:r w:rsidR="00330ECC" w:rsidRPr="00330EC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aprobarea exploatărilor de balast accesibile de pe malul românesc şi de pe malul ucrainean;</w:t>
            </w:r>
          </w:p>
          <w:p w:rsidR="000A202C" w:rsidRPr="00542B1E" w:rsidRDefault="007A5D6E" w:rsidP="000A202C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f</w:t>
            </w:r>
            <w:r w:rsidR="000A202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) </w:t>
            </w:r>
            <w:r w:rsidR="000A202C" w:rsidRPr="000A202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continuarea </w:t>
            </w:r>
            <w:r w:rsidR="0070374C" w:rsidRPr="000A202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activității</w:t>
            </w:r>
            <w:r w:rsidR="000A202C" w:rsidRPr="000A202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de evaluare a calităţii apelor de frontieră pe baza rezultatelor analizelor fizico-chimice și biologice, </w:t>
            </w:r>
            <w:r w:rsidR="000A202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în conformitate cu prevederile </w:t>
            </w:r>
            <w:r w:rsidR="000A202C" w:rsidRPr="000A202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Regulamentului </w:t>
            </w:r>
            <w:r w:rsidR="000A202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în vigoare</w:t>
            </w:r>
            <w:r w:rsidR="00542B1E" w:rsidRPr="00542B1E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;</w:t>
            </w:r>
          </w:p>
          <w:p w:rsidR="0070374C" w:rsidRDefault="007A5D6E" w:rsidP="000A202C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g</w:t>
            </w:r>
            <w:r w:rsidR="000A202C" w:rsidRPr="000A202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)</w:t>
            </w:r>
            <w:r w:rsidR="000A202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0A202C" w:rsidRPr="000A202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continuarea măsurătorilor comune de debit pe apele de frontieră în vederea îmbunătăţirii managementului cantitativ al apelor; </w:t>
            </w:r>
          </w:p>
          <w:p w:rsidR="000A202C" w:rsidRPr="000A202C" w:rsidRDefault="007A5D6E" w:rsidP="000A202C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h</w:t>
            </w:r>
            <w:r w:rsidR="000A202C" w:rsidRPr="000A202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) continuarea schimbului de experienţă între experţii Părţilor, atât în gospodărirea cantitativă, cât şi calitativă a apelor;</w:t>
            </w:r>
          </w:p>
          <w:p w:rsidR="00207B3C" w:rsidRDefault="007A5D6E" w:rsidP="00693146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</w:t>
            </w:r>
            <w:r w:rsidR="00330ECC" w:rsidRPr="00330EC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) aprobarea </w:t>
            </w:r>
            <w:r w:rsidR="0070374C" w:rsidRPr="00330EC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activităților</w:t>
            </w:r>
            <w:r w:rsidR="00330ECC" w:rsidRPr="00330EC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privind </w:t>
            </w:r>
            <w:r w:rsidR="0070374C" w:rsidRPr="00330EC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situația</w:t>
            </w:r>
            <w:r w:rsidR="00330ECC" w:rsidRPr="00330EC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lucrărilor hidrotehnice existente</w:t>
            </w:r>
            <w:r w:rsidR="000A202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, co</w:t>
            </w:r>
            <w:r w:rsidR="00304AF5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nform Regulamentului în vigoare;</w:t>
            </w:r>
          </w:p>
          <w:p w:rsidR="0070374C" w:rsidRDefault="007A5D6E" w:rsidP="00693146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j</w:t>
            </w:r>
            <w:r w:rsidR="00882BF3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) </w:t>
            </w:r>
            <w:r w:rsidR="0070374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sprijinirea reciprocă </w:t>
            </w:r>
            <w:r w:rsidR="0070374C" w:rsidRPr="0070374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în vederea constituirii listei comune de proiecte ce vor putea fi finanțate prin intermediul programelor de cooperare internațională</w:t>
            </w:r>
            <w:r w:rsidR="0070374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70374C" w:rsidRPr="0070374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din domeniul managementului integrat al</w:t>
            </w:r>
            <w:r w:rsidR="0070374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resurselor de apă.</w:t>
            </w:r>
            <w:r w:rsidR="0070374C" w:rsidRPr="0070374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</w:p>
          <w:p w:rsidR="00A831C1" w:rsidRPr="002A05E7" w:rsidRDefault="00EB7FC0" w:rsidP="00EB7FC0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it-IT"/>
              </w:rPr>
              <w:t xml:space="preserve">  </w:t>
            </w:r>
            <w:r w:rsidR="00542B1E">
              <w:rPr>
                <w:rFonts w:ascii="Times New Roman" w:hAnsi="Times New Roman"/>
                <w:color w:val="auto"/>
                <w:sz w:val="24"/>
                <w:szCs w:val="24"/>
                <w:lang w:val="it-IT"/>
              </w:rPr>
              <w:t xml:space="preserve">  </w:t>
            </w:r>
            <w:r w:rsidR="00A831C1" w:rsidRPr="00882BF3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Hotărârile adoptate</w:t>
            </w:r>
            <w:r w:rsidR="00A831C1" w:rsidRPr="00693146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 w:rsidR="00A831C1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în cadrul Sesiunii a X</w:t>
            </w:r>
            <w:r w:rsidR="0070374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</w:t>
            </w:r>
            <w:r w:rsidR="00A831C1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-a vor contribui la protejarea </w:t>
            </w:r>
            <w:r w:rsidR="00A6553A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calității</w:t>
            </w:r>
            <w:r w:rsidR="00A831C1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apelor de frontieră, la sporirea măsurilor de protecţie contra </w:t>
            </w:r>
            <w:r w:rsidR="00A6553A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inundațiilor</w:t>
            </w:r>
            <w:r w:rsidR="00A831C1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, la managementul durabil al apelor de frontieră, în beneficiul mediului înconjurător, </w:t>
            </w:r>
            <w:r w:rsidR="00A6553A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comunităților</w:t>
            </w:r>
            <w:r w:rsidR="00A831C1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locale și cetăţenilor ambelor ţări.</w:t>
            </w:r>
          </w:p>
          <w:p w:rsidR="00CC6138" w:rsidRPr="002A05E7" w:rsidRDefault="00EB7FC0" w:rsidP="0070374C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A5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  </w:t>
            </w:r>
            <w:r w:rsidR="0070374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Părțile</w:t>
            </w:r>
            <w:r w:rsidR="00A831C1" w:rsidRPr="00BA7A5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au hotărât ca cea de a X</w:t>
            </w:r>
            <w:r w:rsidR="00207B3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</w:t>
            </w:r>
            <w:r w:rsidR="0070374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</w:t>
            </w:r>
            <w:r w:rsidR="00A831C1" w:rsidRPr="00BA7A5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-a Sesiune </w:t>
            </w:r>
            <w:r w:rsidR="00882BF3" w:rsidRPr="00882BF3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să aibă l</w:t>
            </w:r>
            <w:r w:rsidR="00207B3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oc în </w:t>
            </w:r>
            <w:r w:rsidR="0070374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luna septembrie</w:t>
            </w:r>
            <w:r w:rsidR="00207B3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20</w:t>
            </w:r>
            <w:r w:rsidR="0070374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20</w:t>
            </w:r>
            <w:r w:rsidR="00882BF3" w:rsidRPr="00882BF3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, pe teritoriu</w:t>
            </w:r>
            <w:r w:rsidR="0070374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l Ucrainei</w:t>
            </w:r>
            <w:r w:rsidR="00882BF3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</w:t>
            </w:r>
          </w:p>
        </w:tc>
      </w:tr>
      <w:tr w:rsidR="002A05E7" w:rsidRPr="002A05E7" w:rsidTr="00C56848">
        <w:tc>
          <w:tcPr>
            <w:tcW w:w="2683" w:type="dxa"/>
            <w:gridSpan w:val="3"/>
          </w:tcPr>
          <w:p w:rsidR="00CC6138" w:rsidRDefault="00CC6138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  <w:p w:rsidR="00D3570C" w:rsidRPr="002A05E7" w:rsidRDefault="00D3570C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Alte informaţii</w:t>
            </w:r>
          </w:p>
        </w:tc>
        <w:tc>
          <w:tcPr>
            <w:tcW w:w="7978" w:type="dxa"/>
            <w:gridSpan w:val="7"/>
          </w:tcPr>
          <w:p w:rsidR="00CC6138" w:rsidRDefault="00CC6138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  <w:p w:rsidR="00B872F0" w:rsidRPr="002A05E7" w:rsidRDefault="00CC6138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   </w:t>
            </w:r>
            <w:r w:rsidR="00D3570C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  <w:r w:rsidR="00294CAD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</w:t>
            </w:r>
          </w:p>
        </w:tc>
      </w:tr>
      <w:tr w:rsidR="002A05E7" w:rsidRPr="002A05E7" w:rsidTr="001661D6">
        <w:trPr>
          <w:trHeight w:val="239"/>
        </w:trPr>
        <w:tc>
          <w:tcPr>
            <w:tcW w:w="10661" w:type="dxa"/>
            <w:gridSpan w:val="10"/>
          </w:tcPr>
          <w:p w:rsidR="00EB7FC0" w:rsidRDefault="00D3570C" w:rsidP="007F5AB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Secţiunea a 3-a: </w:t>
            </w:r>
          </w:p>
          <w:p w:rsidR="002A05E7" w:rsidRPr="002A05E7" w:rsidRDefault="00D3570C" w:rsidP="00946835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Impactul socio-economic al proiectului de act normativ</w:t>
            </w:r>
          </w:p>
        </w:tc>
      </w:tr>
      <w:tr w:rsidR="002A05E7" w:rsidRPr="000714BA" w:rsidTr="00C56848">
        <w:tc>
          <w:tcPr>
            <w:tcW w:w="2639" w:type="dxa"/>
            <w:gridSpan w:val="2"/>
          </w:tcPr>
          <w:p w:rsidR="00D3570C" w:rsidRPr="002A05E7" w:rsidRDefault="00D3570C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 Impactul macroeconomic</w:t>
            </w:r>
          </w:p>
        </w:tc>
        <w:tc>
          <w:tcPr>
            <w:tcW w:w="8022" w:type="dxa"/>
            <w:gridSpan w:val="8"/>
          </w:tcPr>
          <w:p w:rsidR="00D3570C" w:rsidRPr="002A05E7" w:rsidRDefault="002451F5" w:rsidP="00294CA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D3570C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Proiectul de act normativ nu </w:t>
            </w:r>
            <w:r w:rsidR="00294CAD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se referă la acest subiect.</w:t>
            </w:r>
          </w:p>
        </w:tc>
      </w:tr>
      <w:tr w:rsidR="002A05E7" w:rsidRPr="000714BA" w:rsidTr="00B872F0">
        <w:trPr>
          <w:trHeight w:val="1402"/>
        </w:trPr>
        <w:tc>
          <w:tcPr>
            <w:tcW w:w="2639" w:type="dxa"/>
            <w:gridSpan w:val="2"/>
          </w:tcPr>
          <w:p w:rsidR="00D3570C" w:rsidRPr="002A05E7" w:rsidRDefault="00D3570C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ro-RO"/>
              </w:rPr>
              <w:t>1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 Impactul asupra mediului concurenţial şi domeniului ajutoarelor de stat</w:t>
            </w:r>
          </w:p>
        </w:tc>
        <w:tc>
          <w:tcPr>
            <w:tcW w:w="8022" w:type="dxa"/>
            <w:gridSpan w:val="8"/>
          </w:tcPr>
          <w:p w:rsidR="00D3570C" w:rsidRPr="002A05E7" w:rsidRDefault="00B872F0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Proiectul</w:t>
            </w:r>
            <w:proofErr w:type="spellEnd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act</w:t>
            </w:r>
            <w:proofErr w:type="spellEnd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normativ</w:t>
            </w:r>
            <w:proofErr w:type="spellEnd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referă</w:t>
            </w:r>
            <w:proofErr w:type="spellEnd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acest</w:t>
            </w:r>
            <w:proofErr w:type="spellEnd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subiect</w:t>
            </w:r>
            <w:proofErr w:type="spellEnd"/>
            <w:r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.</w:t>
            </w:r>
          </w:p>
        </w:tc>
      </w:tr>
      <w:tr w:rsidR="002A05E7" w:rsidRPr="000714BA" w:rsidTr="00C56848">
        <w:tc>
          <w:tcPr>
            <w:tcW w:w="2639" w:type="dxa"/>
            <w:gridSpan w:val="2"/>
          </w:tcPr>
          <w:p w:rsidR="00D3570C" w:rsidRPr="002A05E7" w:rsidRDefault="00D3570C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. Impactul asupra mediului de afaceri</w:t>
            </w:r>
          </w:p>
        </w:tc>
        <w:tc>
          <w:tcPr>
            <w:tcW w:w="8022" w:type="dxa"/>
            <w:gridSpan w:val="8"/>
          </w:tcPr>
          <w:p w:rsidR="00D3570C" w:rsidRPr="002A05E7" w:rsidRDefault="002451F5" w:rsidP="00BD3CB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u w:val="single"/>
                <w:lang w:val="ro-RO"/>
              </w:rPr>
            </w:pPr>
            <w:r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Proiectul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act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normativ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referă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la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acest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subiect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.</w:t>
            </w:r>
          </w:p>
        </w:tc>
      </w:tr>
      <w:tr w:rsidR="000E2836" w:rsidRPr="000714BA" w:rsidTr="00C56848">
        <w:tc>
          <w:tcPr>
            <w:tcW w:w="2639" w:type="dxa"/>
            <w:gridSpan w:val="2"/>
          </w:tcPr>
          <w:p w:rsidR="000E2836" w:rsidRPr="002A05E7" w:rsidRDefault="000E2836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ro-RO"/>
              </w:rPr>
              <w:t>1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Impactul asupra sarcinilor administrative</w:t>
            </w:r>
          </w:p>
        </w:tc>
        <w:tc>
          <w:tcPr>
            <w:tcW w:w="8022" w:type="dxa"/>
            <w:gridSpan w:val="8"/>
          </w:tcPr>
          <w:p w:rsidR="000E2836" w:rsidRPr="00BA7A5B" w:rsidRDefault="002451F5" w:rsidP="00BD3CBD">
            <w:pPr>
              <w:jc w:val="both"/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</w:pPr>
            <w:r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Proiectul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act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normativ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referă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la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acest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subiect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.</w:t>
            </w:r>
          </w:p>
        </w:tc>
      </w:tr>
      <w:tr w:rsidR="000E2836" w:rsidRPr="000714BA" w:rsidTr="00C56848">
        <w:tc>
          <w:tcPr>
            <w:tcW w:w="2639" w:type="dxa"/>
            <w:gridSpan w:val="2"/>
          </w:tcPr>
          <w:p w:rsidR="000E2836" w:rsidRDefault="000E2836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ro-RO"/>
              </w:rPr>
              <w:t>2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Impactul asupra întreprinderilor mici și mijlocii</w:t>
            </w:r>
          </w:p>
        </w:tc>
        <w:tc>
          <w:tcPr>
            <w:tcW w:w="8022" w:type="dxa"/>
            <w:gridSpan w:val="8"/>
          </w:tcPr>
          <w:p w:rsidR="000E2836" w:rsidRPr="00BA7A5B" w:rsidRDefault="002451F5" w:rsidP="00BD3CBD">
            <w:pPr>
              <w:jc w:val="both"/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</w:pPr>
            <w:r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Proiectul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act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normativ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referă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la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acest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subiect</w:t>
            </w:r>
            <w:proofErr w:type="spellEnd"/>
            <w:r w:rsidR="000E2836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.</w:t>
            </w:r>
          </w:p>
        </w:tc>
      </w:tr>
      <w:tr w:rsidR="002A05E7" w:rsidRPr="000714BA" w:rsidTr="00C56848">
        <w:tc>
          <w:tcPr>
            <w:tcW w:w="2639" w:type="dxa"/>
            <w:gridSpan w:val="2"/>
          </w:tcPr>
          <w:p w:rsidR="00D3570C" w:rsidRPr="002A05E7" w:rsidRDefault="00D3570C" w:rsidP="00E51CC6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Impactul social</w:t>
            </w:r>
          </w:p>
        </w:tc>
        <w:tc>
          <w:tcPr>
            <w:tcW w:w="8022" w:type="dxa"/>
            <w:gridSpan w:val="8"/>
          </w:tcPr>
          <w:p w:rsidR="00D3570C" w:rsidRPr="002A05E7" w:rsidRDefault="002451F5" w:rsidP="00E51CC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  <w:lang w:val="ro-RO"/>
              </w:rPr>
            </w:pPr>
            <w:r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Proiectul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act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normativ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referă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la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acest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subiect</w:t>
            </w:r>
            <w:proofErr w:type="spellEnd"/>
            <w:r w:rsidR="00B872F0" w:rsidRPr="00BA7A5B">
              <w:rPr>
                <w:rStyle w:val="tpa1"/>
                <w:rFonts w:ascii="Times New Roman" w:hAnsi="Times New Roman"/>
                <w:color w:val="auto"/>
                <w:sz w:val="24"/>
                <w:szCs w:val="24"/>
                <w:lang w:val="fr-FR"/>
              </w:rPr>
              <w:t>.</w:t>
            </w:r>
          </w:p>
        </w:tc>
      </w:tr>
      <w:tr w:rsidR="002A05E7" w:rsidRPr="000714BA" w:rsidTr="00C56848">
        <w:tc>
          <w:tcPr>
            <w:tcW w:w="2639" w:type="dxa"/>
            <w:gridSpan w:val="2"/>
          </w:tcPr>
          <w:p w:rsidR="00D3570C" w:rsidRPr="002A05E7" w:rsidRDefault="00D3570C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4. Impactul asupra mediului </w:t>
            </w:r>
          </w:p>
        </w:tc>
        <w:tc>
          <w:tcPr>
            <w:tcW w:w="8022" w:type="dxa"/>
            <w:gridSpan w:val="8"/>
          </w:tcPr>
          <w:p w:rsidR="00D3570C" w:rsidRDefault="00B872F0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Proiectul de act normativ aprobă măsuri pentru îmbunătățirea managementului resurselor de apă în bazine hidrografice transfrontieră, asigurând totodată și protecția mediului prin utilizarea durabilă a resurselor de apă.</w:t>
            </w:r>
          </w:p>
          <w:p w:rsidR="00EB7FC0" w:rsidRPr="002A05E7" w:rsidRDefault="00EB7FC0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ro-RO"/>
              </w:rPr>
            </w:pPr>
          </w:p>
        </w:tc>
      </w:tr>
      <w:tr w:rsidR="002A05E7" w:rsidRPr="002A05E7" w:rsidTr="00C56848">
        <w:tc>
          <w:tcPr>
            <w:tcW w:w="2639" w:type="dxa"/>
            <w:gridSpan w:val="2"/>
          </w:tcPr>
          <w:p w:rsidR="00D3570C" w:rsidRPr="002A05E7" w:rsidRDefault="00D3570C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5. Alte informaţii</w:t>
            </w:r>
          </w:p>
        </w:tc>
        <w:tc>
          <w:tcPr>
            <w:tcW w:w="8022" w:type="dxa"/>
            <w:gridSpan w:val="8"/>
          </w:tcPr>
          <w:p w:rsidR="00D3570C" w:rsidRPr="002A05E7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  <w:r w:rsidR="00294CAD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</w:t>
            </w:r>
          </w:p>
        </w:tc>
      </w:tr>
      <w:tr w:rsidR="002A05E7" w:rsidRPr="002A05E7" w:rsidTr="00C56848">
        <w:tc>
          <w:tcPr>
            <w:tcW w:w="10661" w:type="dxa"/>
            <w:gridSpan w:val="10"/>
          </w:tcPr>
          <w:p w:rsidR="00EB7FC0" w:rsidRDefault="00D3570C" w:rsidP="007F5AB3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Secţiunea a 4-a: </w:t>
            </w:r>
          </w:p>
          <w:p w:rsidR="00294CAD" w:rsidRPr="002A05E7" w:rsidRDefault="00D3570C" w:rsidP="007F5AB3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Impactul financiar asupra bugetului general consolidat, atât pe termen scurt, pentru anul curent, cât şi pe termen lung (pe 5 ani)</w:t>
            </w:r>
          </w:p>
        </w:tc>
      </w:tr>
      <w:tr w:rsidR="002A05E7" w:rsidRPr="002A05E7" w:rsidTr="00C56848">
        <w:tc>
          <w:tcPr>
            <w:tcW w:w="10661" w:type="dxa"/>
            <w:gridSpan w:val="10"/>
          </w:tcPr>
          <w:p w:rsidR="00D3570C" w:rsidRPr="002A05E7" w:rsidRDefault="00D3570C" w:rsidP="00E51CC6">
            <w:pPr>
              <w:spacing w:line="36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 mii lei -</w:t>
            </w:r>
          </w:p>
        </w:tc>
      </w:tr>
      <w:tr w:rsidR="002A05E7" w:rsidRPr="002A05E7" w:rsidTr="00294CAD">
        <w:trPr>
          <w:trHeight w:val="564"/>
        </w:trPr>
        <w:tc>
          <w:tcPr>
            <w:tcW w:w="4565" w:type="dxa"/>
            <w:gridSpan w:val="4"/>
          </w:tcPr>
          <w:p w:rsidR="00D3570C" w:rsidRPr="002A05E7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993" w:type="dxa"/>
          </w:tcPr>
          <w:p w:rsidR="00D3570C" w:rsidRPr="002A05E7" w:rsidRDefault="00D3570C" w:rsidP="00E51CC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Anul</w:t>
            </w:r>
          </w:p>
          <w:p w:rsidR="00D3570C" w:rsidRPr="002A05E7" w:rsidRDefault="00D3570C" w:rsidP="00E51CC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curent</w:t>
            </w:r>
          </w:p>
        </w:tc>
        <w:tc>
          <w:tcPr>
            <w:tcW w:w="3829" w:type="dxa"/>
            <w:gridSpan w:val="4"/>
          </w:tcPr>
          <w:p w:rsidR="00D3570C" w:rsidRPr="002A05E7" w:rsidRDefault="00D3570C" w:rsidP="00E51CC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Următorii</w:t>
            </w:r>
          </w:p>
          <w:p w:rsidR="00D3570C" w:rsidRPr="002A05E7" w:rsidRDefault="00D3570C" w:rsidP="00E51CC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 ani</w:t>
            </w:r>
          </w:p>
        </w:tc>
        <w:tc>
          <w:tcPr>
            <w:tcW w:w="1274" w:type="dxa"/>
          </w:tcPr>
          <w:p w:rsidR="00D3570C" w:rsidRPr="002A05E7" w:rsidRDefault="00D3570C" w:rsidP="00E51CC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Media</w:t>
            </w:r>
          </w:p>
          <w:p w:rsidR="00D3570C" w:rsidRPr="002A05E7" w:rsidRDefault="00D3570C" w:rsidP="00E51CC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pe 5 ani</w:t>
            </w:r>
          </w:p>
        </w:tc>
      </w:tr>
      <w:tr w:rsidR="002A05E7" w:rsidRPr="002A05E7" w:rsidTr="00294CAD">
        <w:trPr>
          <w:trHeight w:val="170"/>
        </w:trPr>
        <w:tc>
          <w:tcPr>
            <w:tcW w:w="4565" w:type="dxa"/>
            <w:gridSpan w:val="4"/>
          </w:tcPr>
          <w:p w:rsidR="00D3570C" w:rsidRPr="002A05E7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993" w:type="dxa"/>
          </w:tcPr>
          <w:p w:rsidR="00D3570C" w:rsidRPr="002A05E7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992" w:type="dxa"/>
          </w:tcPr>
          <w:p w:rsidR="00D3570C" w:rsidRPr="002A05E7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992" w:type="dxa"/>
          </w:tcPr>
          <w:p w:rsidR="00D3570C" w:rsidRPr="002A05E7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992" w:type="dxa"/>
          </w:tcPr>
          <w:p w:rsidR="00D3570C" w:rsidRPr="002A05E7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853" w:type="dxa"/>
          </w:tcPr>
          <w:p w:rsidR="00D3570C" w:rsidRPr="002A05E7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6</w:t>
            </w:r>
          </w:p>
        </w:tc>
        <w:tc>
          <w:tcPr>
            <w:tcW w:w="1274" w:type="dxa"/>
          </w:tcPr>
          <w:p w:rsidR="00D3570C" w:rsidRPr="002A05E7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7</w:t>
            </w:r>
          </w:p>
        </w:tc>
      </w:tr>
      <w:tr w:rsidR="002A05E7" w:rsidRPr="002A05E7" w:rsidTr="00294CAD">
        <w:tc>
          <w:tcPr>
            <w:tcW w:w="4565" w:type="dxa"/>
            <w:gridSpan w:val="4"/>
          </w:tcPr>
          <w:p w:rsidR="00D3570C" w:rsidRPr="002A05E7" w:rsidRDefault="00D3570C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</w:tcPr>
          <w:p w:rsidR="00D3570C" w:rsidRPr="002A05E7" w:rsidRDefault="00D3570C" w:rsidP="00C72D64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201</w:t>
            </w:r>
            <w:r w:rsidR="0070374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9</w:t>
            </w:r>
          </w:p>
        </w:tc>
        <w:tc>
          <w:tcPr>
            <w:tcW w:w="992" w:type="dxa"/>
          </w:tcPr>
          <w:p w:rsidR="00D3570C" w:rsidRPr="002A05E7" w:rsidRDefault="00D3570C" w:rsidP="0070374C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20</w:t>
            </w:r>
            <w:r w:rsidR="0070374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20</w:t>
            </w:r>
          </w:p>
        </w:tc>
        <w:tc>
          <w:tcPr>
            <w:tcW w:w="992" w:type="dxa"/>
          </w:tcPr>
          <w:p w:rsidR="00D3570C" w:rsidRPr="002A05E7" w:rsidRDefault="00E90B98" w:rsidP="00C72D64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</w:t>
            </w:r>
            <w:r w:rsidR="0070374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021</w:t>
            </w:r>
          </w:p>
        </w:tc>
        <w:tc>
          <w:tcPr>
            <w:tcW w:w="992" w:type="dxa"/>
          </w:tcPr>
          <w:p w:rsidR="00D3570C" w:rsidRPr="002A05E7" w:rsidRDefault="00D3570C" w:rsidP="00C72D64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20</w:t>
            </w:r>
            <w:r w:rsidR="0070374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22</w:t>
            </w:r>
          </w:p>
        </w:tc>
        <w:tc>
          <w:tcPr>
            <w:tcW w:w="853" w:type="dxa"/>
          </w:tcPr>
          <w:p w:rsidR="00D3570C" w:rsidRPr="002A05E7" w:rsidRDefault="00C72BAD" w:rsidP="00E51CC6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274" w:type="dxa"/>
          </w:tcPr>
          <w:p w:rsidR="00D3570C" w:rsidRPr="002A05E7" w:rsidRDefault="00D3570C" w:rsidP="00E51CC6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2A05E7" w:rsidRPr="002A05E7" w:rsidTr="007B298D">
        <w:trPr>
          <w:trHeight w:val="416"/>
        </w:trPr>
        <w:tc>
          <w:tcPr>
            <w:tcW w:w="4565" w:type="dxa"/>
            <w:gridSpan w:val="4"/>
          </w:tcPr>
          <w:p w:rsidR="00D3570C" w:rsidRPr="002A05E7" w:rsidRDefault="000E2836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</w:t>
            </w:r>
            <w:r w:rsidR="00D3570C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Modificări ale veniturilor bugetare, plus/minus, din care:</w:t>
            </w:r>
          </w:p>
          <w:p w:rsidR="00D3570C" w:rsidRPr="002A05E7" w:rsidRDefault="00D3570C" w:rsidP="00D3570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 de stat, din acesta:</w:t>
            </w:r>
          </w:p>
          <w:p w:rsidR="00D3570C" w:rsidRPr="002A05E7" w:rsidRDefault="00D3570C" w:rsidP="00D3570C">
            <w:pPr>
              <w:numPr>
                <w:ilvl w:val="0"/>
                <w:numId w:val="10"/>
              </w:numPr>
              <w:tabs>
                <w:tab w:val="clear" w:pos="1080"/>
                <w:tab w:val="left" w:pos="720"/>
                <w:tab w:val="num" w:pos="900"/>
              </w:tabs>
              <w:ind w:left="36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impozit pe profit</w:t>
            </w:r>
          </w:p>
          <w:p w:rsidR="00D3570C" w:rsidRPr="002A05E7" w:rsidRDefault="00D3570C" w:rsidP="00D3570C">
            <w:pPr>
              <w:numPr>
                <w:ilvl w:val="0"/>
                <w:numId w:val="10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impozit pe venit</w:t>
            </w:r>
          </w:p>
          <w:p w:rsidR="00D3570C" w:rsidRPr="002A05E7" w:rsidRDefault="00D3570C" w:rsidP="00D3570C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bugete locale:</w:t>
            </w:r>
          </w:p>
          <w:p w:rsidR="00D3570C" w:rsidRPr="002A05E7" w:rsidRDefault="00D3570C" w:rsidP="00D3570C">
            <w:pPr>
              <w:numPr>
                <w:ilvl w:val="0"/>
                <w:numId w:val="11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impozit pe profit</w:t>
            </w:r>
          </w:p>
          <w:p w:rsidR="00D3570C" w:rsidRPr="002A05E7" w:rsidRDefault="00D3570C" w:rsidP="00D3570C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bugetul asigurărilor sociale de stat:</w:t>
            </w:r>
          </w:p>
          <w:p w:rsidR="00D3570C" w:rsidRPr="002A05E7" w:rsidRDefault="00D3570C" w:rsidP="00D3570C">
            <w:pPr>
              <w:numPr>
                <w:ilvl w:val="0"/>
                <w:numId w:val="12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contribuţii de asigurări</w:t>
            </w:r>
          </w:p>
        </w:tc>
        <w:tc>
          <w:tcPr>
            <w:tcW w:w="6096" w:type="dxa"/>
            <w:gridSpan w:val="6"/>
          </w:tcPr>
          <w:p w:rsidR="00D3570C" w:rsidRPr="002A05E7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vizează modificarea veniturilor bugetare directe.</w:t>
            </w:r>
          </w:p>
        </w:tc>
      </w:tr>
      <w:tr w:rsidR="002A05E7" w:rsidRPr="002A05E7" w:rsidTr="00294CAD">
        <w:trPr>
          <w:trHeight w:val="451"/>
        </w:trPr>
        <w:tc>
          <w:tcPr>
            <w:tcW w:w="4565" w:type="dxa"/>
            <w:gridSpan w:val="4"/>
            <w:vMerge w:val="restart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Modificări ale cheltuielilor bugetare plus/minus, din care:</w:t>
            </w:r>
          </w:p>
          <w:p w:rsidR="00D3570C" w:rsidRDefault="00D3570C" w:rsidP="00D3570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 de stat</w:t>
            </w:r>
          </w:p>
          <w:p w:rsidR="000E2836" w:rsidRPr="000E2836" w:rsidRDefault="000E2836" w:rsidP="000E283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0E283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cheltuieli de capital</w:t>
            </w:r>
          </w:p>
          <w:p w:rsidR="00D3570C" w:rsidRPr="002A05E7" w:rsidRDefault="00D3570C" w:rsidP="00D3570C">
            <w:pPr>
              <w:numPr>
                <w:ilvl w:val="1"/>
                <w:numId w:val="14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credit extern</w:t>
            </w:r>
          </w:p>
          <w:p w:rsidR="00D3570C" w:rsidRPr="002A05E7" w:rsidRDefault="00D3570C" w:rsidP="00D3570C">
            <w:pPr>
              <w:numPr>
                <w:ilvl w:val="1"/>
                <w:numId w:val="15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surse proprii</w:t>
            </w:r>
          </w:p>
        </w:tc>
        <w:tc>
          <w:tcPr>
            <w:tcW w:w="993" w:type="dxa"/>
          </w:tcPr>
          <w:p w:rsidR="00D3570C" w:rsidRPr="002A05E7" w:rsidRDefault="00A435FD" w:rsidP="00DA3A61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RDefault="00A435FD" w:rsidP="0090274F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RDefault="00A435FD" w:rsidP="0090274F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RDefault="00A435FD" w:rsidP="0090274F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853" w:type="dxa"/>
          </w:tcPr>
          <w:p w:rsidR="00D3570C" w:rsidRPr="002A05E7" w:rsidRDefault="00A435FD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274" w:type="dxa"/>
          </w:tcPr>
          <w:p w:rsidR="00D3570C" w:rsidRPr="002A05E7" w:rsidRDefault="00A435FD" w:rsidP="00086369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2A05E7" w:rsidRPr="002A05E7" w:rsidTr="00294CAD">
        <w:trPr>
          <w:trHeight w:val="348"/>
        </w:trPr>
        <w:tc>
          <w:tcPr>
            <w:tcW w:w="4565" w:type="dxa"/>
            <w:gridSpan w:val="4"/>
            <w:vMerge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</w:tcPr>
          <w:p w:rsidR="00D3570C" w:rsidRPr="002A05E7" w:rsidRDefault="00A435FD" w:rsidP="00DA3A61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RDefault="00A435FD" w:rsidP="0090274F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RDefault="00A435FD" w:rsidP="0090274F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RDefault="00A435FD" w:rsidP="0090274F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853" w:type="dxa"/>
          </w:tcPr>
          <w:p w:rsidR="00D3570C" w:rsidRPr="002A05E7" w:rsidRDefault="00A435FD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274" w:type="dxa"/>
          </w:tcPr>
          <w:p w:rsidR="00D3570C" w:rsidRPr="002A05E7" w:rsidRDefault="00A435FD" w:rsidP="00BE3397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2A05E7" w:rsidRPr="002A05E7" w:rsidTr="00294CAD">
        <w:trPr>
          <w:trHeight w:val="292"/>
        </w:trPr>
        <w:tc>
          <w:tcPr>
            <w:tcW w:w="4565" w:type="dxa"/>
            <w:gridSpan w:val="4"/>
            <w:vMerge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</w:tcPr>
          <w:p w:rsidR="00D3570C" w:rsidRPr="002A05E7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RDefault="00D3570C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RDefault="00D3570C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RDefault="00D3570C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853" w:type="dxa"/>
          </w:tcPr>
          <w:p w:rsidR="00D3570C" w:rsidRPr="002A05E7" w:rsidRDefault="00D3570C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274" w:type="dxa"/>
          </w:tcPr>
          <w:p w:rsidR="00D3570C" w:rsidRPr="002A05E7" w:rsidRDefault="00D3570C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2A05E7" w:rsidRPr="002A05E7" w:rsidTr="00294CAD">
        <w:trPr>
          <w:trHeight w:val="285"/>
        </w:trPr>
        <w:tc>
          <w:tcPr>
            <w:tcW w:w="4565" w:type="dxa"/>
            <w:gridSpan w:val="4"/>
            <w:vMerge w:val="restart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Impact financiar, plus/minus, din care:</w:t>
            </w:r>
          </w:p>
          <w:p w:rsidR="00D3570C" w:rsidRPr="002A05E7" w:rsidRDefault="00D3570C" w:rsidP="00D3570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 de stat</w:t>
            </w:r>
          </w:p>
          <w:p w:rsidR="00D3570C" w:rsidRPr="002A05E7" w:rsidRDefault="00D3570C" w:rsidP="00D3570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bugete locale</w:t>
            </w:r>
          </w:p>
        </w:tc>
        <w:tc>
          <w:tcPr>
            <w:tcW w:w="993" w:type="dxa"/>
          </w:tcPr>
          <w:p w:rsidR="00D3570C" w:rsidRPr="002A05E7" w:rsidRDefault="00D3570C" w:rsidP="00E51CC6">
            <w:pPr>
              <w:ind w:left="-108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 -</w:t>
            </w:r>
          </w:p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853" w:type="dxa"/>
          </w:tcPr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274" w:type="dxa"/>
          </w:tcPr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2A05E7" w:rsidRPr="002A05E7" w:rsidTr="00294CAD">
        <w:trPr>
          <w:trHeight w:val="432"/>
        </w:trPr>
        <w:tc>
          <w:tcPr>
            <w:tcW w:w="4565" w:type="dxa"/>
            <w:gridSpan w:val="4"/>
            <w:vMerge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</w:tcPr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853" w:type="dxa"/>
          </w:tcPr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274" w:type="dxa"/>
          </w:tcPr>
          <w:p w:rsidR="00D3570C" w:rsidRPr="002A05E7" w:rsidDel="005D215F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2A05E7" w:rsidRPr="000714BA" w:rsidTr="007B298D">
        <w:tc>
          <w:tcPr>
            <w:tcW w:w="4565" w:type="dxa"/>
            <w:gridSpan w:val="4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4. Propuneri pentru acoperirea creşterii cheltuielilor bugetare</w:t>
            </w:r>
          </w:p>
        </w:tc>
        <w:tc>
          <w:tcPr>
            <w:tcW w:w="6096" w:type="dxa"/>
            <w:gridSpan w:val="6"/>
          </w:tcPr>
          <w:p w:rsidR="00D3570C" w:rsidRPr="002A05E7" w:rsidRDefault="00153291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A05E7" w:rsidRPr="000714BA" w:rsidTr="007B298D">
        <w:tc>
          <w:tcPr>
            <w:tcW w:w="4565" w:type="dxa"/>
            <w:gridSpan w:val="4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5. Propuneri pentru a compensa reducerea veniturilor bugetare</w:t>
            </w:r>
          </w:p>
        </w:tc>
        <w:tc>
          <w:tcPr>
            <w:tcW w:w="6096" w:type="dxa"/>
            <w:gridSpan w:val="6"/>
          </w:tcPr>
          <w:p w:rsidR="00D3570C" w:rsidRPr="002A05E7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Proiectul de act normativ nu se referă la acest subiect. </w:t>
            </w:r>
          </w:p>
        </w:tc>
      </w:tr>
      <w:tr w:rsidR="002A05E7" w:rsidRPr="000714BA" w:rsidTr="007B298D">
        <w:tc>
          <w:tcPr>
            <w:tcW w:w="4565" w:type="dxa"/>
            <w:gridSpan w:val="4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6. Calcule detaliate privind fundamentarea modificărilor veniturilor şi/sau cheltuielilor bugetare</w:t>
            </w:r>
          </w:p>
        </w:tc>
        <w:tc>
          <w:tcPr>
            <w:tcW w:w="6096" w:type="dxa"/>
            <w:gridSpan w:val="6"/>
          </w:tcPr>
          <w:p w:rsidR="00E0769D" w:rsidRPr="002A05E7" w:rsidRDefault="00A435FD" w:rsidP="009740F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 xml:space="preserve"> </w:t>
            </w:r>
            <w:r w:rsidR="00B872F0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A05E7" w:rsidRPr="002A05E7" w:rsidTr="007B298D">
        <w:tc>
          <w:tcPr>
            <w:tcW w:w="4565" w:type="dxa"/>
            <w:gridSpan w:val="4"/>
          </w:tcPr>
          <w:p w:rsidR="00B872F0" w:rsidRPr="002A05E7" w:rsidRDefault="00B872F0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7. Alte informații</w:t>
            </w:r>
          </w:p>
        </w:tc>
        <w:tc>
          <w:tcPr>
            <w:tcW w:w="6096" w:type="dxa"/>
            <w:gridSpan w:val="6"/>
          </w:tcPr>
          <w:p w:rsidR="00B872F0" w:rsidRPr="002A05E7" w:rsidRDefault="000E2836" w:rsidP="009740F5">
            <w:pPr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nu are impact financiar asupra bugetului general consolidat</w:t>
            </w:r>
          </w:p>
        </w:tc>
      </w:tr>
      <w:tr w:rsidR="002A05E7" w:rsidRPr="002A05E7" w:rsidTr="00C56848">
        <w:trPr>
          <w:trHeight w:val="401"/>
        </w:trPr>
        <w:tc>
          <w:tcPr>
            <w:tcW w:w="10661" w:type="dxa"/>
            <w:gridSpan w:val="10"/>
          </w:tcPr>
          <w:p w:rsidR="00EB7FC0" w:rsidRDefault="00EB7FC0" w:rsidP="00AE29B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EB7FC0" w:rsidRDefault="00D3570C" w:rsidP="00AE29B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Secţiunea a 5-a: </w:t>
            </w:r>
          </w:p>
          <w:p w:rsidR="00EB7FC0" w:rsidRDefault="00EB7FC0" w:rsidP="00AE29B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D3570C" w:rsidRPr="002A05E7" w:rsidRDefault="00D3570C" w:rsidP="00AE29B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Efectele proiectului de act normativ asupra legislaţiei în vigoare</w:t>
            </w:r>
          </w:p>
        </w:tc>
      </w:tr>
      <w:tr w:rsidR="002A05E7" w:rsidRPr="000714BA" w:rsidTr="007B298D">
        <w:tc>
          <w:tcPr>
            <w:tcW w:w="4565" w:type="dxa"/>
            <w:gridSpan w:val="4"/>
          </w:tcPr>
          <w:p w:rsidR="00D3570C" w:rsidRPr="002A05E7" w:rsidRDefault="00D3570C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 Măsuri normative necesare pentru aplicarea prevederilor proiectului de act normativ:</w:t>
            </w:r>
          </w:p>
          <w:p w:rsidR="00D3570C" w:rsidRPr="002A05E7" w:rsidRDefault="00D3570C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a) acte normative în vigoare ce vor fi modificate sau abrogate, ca urmare a intrării în vigoare a proiectului de act normativ; </w:t>
            </w:r>
          </w:p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b) acte normative ce urmează a fi elaborate în vederea implementării noilor dispoziţii</w:t>
            </w:r>
          </w:p>
        </w:tc>
        <w:tc>
          <w:tcPr>
            <w:tcW w:w="6096" w:type="dxa"/>
            <w:gridSpan w:val="6"/>
          </w:tcPr>
          <w:p w:rsidR="00D3570C" w:rsidRPr="002A05E7" w:rsidRDefault="00E67647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0E2836" w:rsidRPr="000714BA" w:rsidTr="007B298D">
        <w:tc>
          <w:tcPr>
            <w:tcW w:w="4565" w:type="dxa"/>
            <w:gridSpan w:val="4"/>
          </w:tcPr>
          <w:p w:rsidR="000E2836" w:rsidRDefault="000E2836" w:rsidP="00E51CC6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ro-RO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ro-RO"/>
              </w:rPr>
              <w:t xml:space="preserve"> 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Compatibilitatea proiectului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de act normativ cu legislația în domeniul achizițiilor publice</w:t>
            </w:r>
          </w:p>
          <w:p w:rsidR="000E2836" w:rsidRDefault="000E2836" w:rsidP="000E283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impact legislativ</w:t>
            </w:r>
            <w:r w:rsidR="002A6D02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e-prevederi de modificare și completare a cadrului normativ în domeniul achizițiilor publice, prevederi derogatorii</w:t>
            </w:r>
          </w:p>
          <w:p w:rsidR="00AE29B3" w:rsidRPr="00AE29B3" w:rsidRDefault="002A6D02" w:rsidP="00AE29B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norme de impact la nivel operațional/tehnic-sisteme electronice utilizate în desfășurarea procedurilor de achiziție publică, unități centralizate de achiziții publice, structură organizatorică internă a autorităților contractante</w:t>
            </w:r>
          </w:p>
        </w:tc>
        <w:tc>
          <w:tcPr>
            <w:tcW w:w="6096" w:type="dxa"/>
            <w:gridSpan w:val="6"/>
          </w:tcPr>
          <w:p w:rsidR="000E2836" w:rsidRPr="002A05E7" w:rsidRDefault="002A6D02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A05E7" w:rsidRPr="000714BA" w:rsidTr="007B298D">
        <w:tc>
          <w:tcPr>
            <w:tcW w:w="4565" w:type="dxa"/>
            <w:gridSpan w:val="4"/>
          </w:tcPr>
          <w:p w:rsidR="00D3570C" w:rsidRPr="002A05E7" w:rsidRDefault="002A6D02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2. Conformitatea </w:t>
            </w:r>
            <w:r w:rsidR="00D3570C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proiectului de act normativ cu 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legislația</w:t>
            </w:r>
            <w:r w:rsidR="00D3570C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comunitară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în cazul proiectelor ce transpun prevederi comunitare</w:t>
            </w:r>
          </w:p>
        </w:tc>
        <w:tc>
          <w:tcPr>
            <w:tcW w:w="6096" w:type="dxa"/>
            <w:gridSpan w:val="6"/>
          </w:tcPr>
          <w:p w:rsidR="00D3570C" w:rsidRPr="002A05E7" w:rsidRDefault="00E67647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A05E7" w:rsidRPr="000714BA" w:rsidTr="007B298D">
        <w:tc>
          <w:tcPr>
            <w:tcW w:w="4565" w:type="dxa"/>
            <w:gridSpan w:val="4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Măsuri normative necesare aplicării directe a actelor normative comunitare</w:t>
            </w:r>
          </w:p>
        </w:tc>
        <w:tc>
          <w:tcPr>
            <w:tcW w:w="6096" w:type="dxa"/>
            <w:gridSpan w:val="6"/>
          </w:tcPr>
          <w:p w:rsidR="00D3570C" w:rsidRPr="002A05E7" w:rsidRDefault="00E67647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A05E7" w:rsidRPr="000714BA" w:rsidTr="007B298D">
        <w:tc>
          <w:tcPr>
            <w:tcW w:w="4565" w:type="dxa"/>
            <w:gridSpan w:val="4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4. Hotărâri ale Curţii Europene de Justiţie a Uniunii Europene</w:t>
            </w:r>
          </w:p>
        </w:tc>
        <w:tc>
          <w:tcPr>
            <w:tcW w:w="6096" w:type="dxa"/>
            <w:gridSpan w:val="6"/>
          </w:tcPr>
          <w:p w:rsidR="00D3570C" w:rsidRPr="002A05E7" w:rsidRDefault="0031565A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A05E7" w:rsidRPr="000714BA" w:rsidTr="007B298D">
        <w:tc>
          <w:tcPr>
            <w:tcW w:w="4565" w:type="dxa"/>
            <w:gridSpan w:val="4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5. Alte acte normative şi/sau documente internaţionale din care decurg angajamente</w:t>
            </w:r>
          </w:p>
        </w:tc>
        <w:tc>
          <w:tcPr>
            <w:tcW w:w="6096" w:type="dxa"/>
            <w:gridSpan w:val="6"/>
          </w:tcPr>
          <w:p w:rsidR="00D3570C" w:rsidRPr="002A05E7" w:rsidRDefault="0031565A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A05E7" w:rsidRPr="002A05E7" w:rsidTr="007B298D">
        <w:tc>
          <w:tcPr>
            <w:tcW w:w="4565" w:type="dxa"/>
            <w:gridSpan w:val="4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6. Alte informaţi</w:t>
            </w:r>
          </w:p>
        </w:tc>
        <w:tc>
          <w:tcPr>
            <w:tcW w:w="6096" w:type="dxa"/>
            <w:gridSpan w:val="6"/>
          </w:tcPr>
          <w:p w:rsidR="00D3570C" w:rsidRPr="002A05E7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</w:p>
        </w:tc>
      </w:tr>
      <w:tr w:rsidR="002A05E7" w:rsidRPr="002A05E7" w:rsidTr="00C56848">
        <w:tc>
          <w:tcPr>
            <w:tcW w:w="10661" w:type="dxa"/>
            <w:gridSpan w:val="10"/>
          </w:tcPr>
          <w:p w:rsidR="00CD75E3" w:rsidRDefault="00CD75E3" w:rsidP="00AE29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EB7FC0" w:rsidRDefault="00D3570C" w:rsidP="00AE29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Secţiunea a 6-a: </w:t>
            </w:r>
          </w:p>
          <w:p w:rsidR="00CD75E3" w:rsidRDefault="00CD75E3" w:rsidP="00877F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7F5AB3" w:rsidRPr="002A05E7" w:rsidRDefault="00D3570C" w:rsidP="00877F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Consultările efectuate în vederea elaborării proiectului de act normativ</w:t>
            </w:r>
          </w:p>
        </w:tc>
      </w:tr>
      <w:tr w:rsidR="002A05E7" w:rsidRPr="000714BA" w:rsidTr="007B298D">
        <w:tc>
          <w:tcPr>
            <w:tcW w:w="4565" w:type="dxa"/>
            <w:gridSpan w:val="4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 Informaţii privind procesul de consultare cu organizaţii neguvernamentale, institute de cercetare şi alte organisme implicate</w:t>
            </w:r>
          </w:p>
        </w:tc>
        <w:tc>
          <w:tcPr>
            <w:tcW w:w="6096" w:type="dxa"/>
            <w:gridSpan w:val="6"/>
          </w:tcPr>
          <w:p w:rsidR="00D3570C" w:rsidRPr="002A05E7" w:rsidRDefault="007B298D" w:rsidP="00C8440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A05E7" w:rsidRPr="000714BA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Fundamentarea alegerii organizaţiilor cu care a avut loc consultarea, precum şi a modului în care activitatea acestor organizaţii este legată de obiectul proiectului de act normativ</w:t>
            </w:r>
          </w:p>
        </w:tc>
        <w:tc>
          <w:tcPr>
            <w:tcW w:w="6096" w:type="dxa"/>
            <w:gridSpan w:val="6"/>
          </w:tcPr>
          <w:p w:rsidR="00D3570C" w:rsidRPr="002A05E7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D3570C" w:rsidRPr="002A05E7" w:rsidRDefault="00D3570C" w:rsidP="00E51CC6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2A05E7" w:rsidRPr="000714BA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3. Consultările organizate cu autorităţile administraţiei publice locale, în situaţia în 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care proiectul de act normativ are ca obiect activităţi ale acestor autorităţi, în condiţiile Hotărârii Guvernului nr. 521/2005 privind procedura de consultare a structurilor asociative ale autorităţilor administraţiei publice locale la elaborarea proiectelor de acte normative</w:t>
            </w:r>
          </w:p>
        </w:tc>
        <w:tc>
          <w:tcPr>
            <w:tcW w:w="6096" w:type="dxa"/>
            <w:gridSpan w:val="6"/>
          </w:tcPr>
          <w:p w:rsidR="00877393" w:rsidRPr="002A05E7" w:rsidRDefault="00877393" w:rsidP="0087739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Proiectul de act normativ nu se referă la acest subiect.</w:t>
            </w:r>
          </w:p>
          <w:p w:rsidR="00D3570C" w:rsidRPr="002A05E7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2A05E7" w:rsidRPr="002A05E7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4. Consultările desfăşurate în cadrul consiliilor interministeriale, în conformitate cu prevederile Hotărârii Guvernului nr.</w:t>
            </w:r>
            <w:r w:rsidR="00036119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7</w:t>
            </w: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50/2005 privind constituirea consiliilor interministeriale permanente</w:t>
            </w:r>
          </w:p>
        </w:tc>
        <w:tc>
          <w:tcPr>
            <w:tcW w:w="6096" w:type="dxa"/>
            <w:gridSpan w:val="6"/>
          </w:tcPr>
          <w:p w:rsidR="00D3570C" w:rsidRPr="002A05E7" w:rsidRDefault="00036119" w:rsidP="00E6764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67647" w:rsidRPr="002A05E7">
              <w:rPr>
                <w:rFonts w:ascii="Times New Roman" w:hAnsi="Times New Roman"/>
                <w:color w:val="auto"/>
                <w:sz w:val="24"/>
                <w:szCs w:val="24"/>
                <w:lang w:val="es-ES"/>
              </w:rPr>
              <w:t>nu</w:t>
            </w:r>
            <w:proofErr w:type="spellEnd"/>
            <w:r w:rsidR="00E67647" w:rsidRPr="002A05E7">
              <w:rPr>
                <w:rFonts w:ascii="Times New Roman" w:hAnsi="Times New Roman"/>
                <w:color w:val="auto"/>
                <w:sz w:val="24"/>
                <w:szCs w:val="24"/>
                <w:lang w:val="es-ES"/>
              </w:rPr>
              <w:t xml:space="preserve"> este </w:t>
            </w:r>
            <w:proofErr w:type="spellStart"/>
            <w:r w:rsidR="00E67647" w:rsidRPr="002A05E7">
              <w:rPr>
                <w:rFonts w:ascii="Times New Roman" w:hAnsi="Times New Roman"/>
                <w:color w:val="auto"/>
                <w:sz w:val="24"/>
                <w:szCs w:val="24"/>
                <w:lang w:val="es-ES"/>
              </w:rPr>
              <w:t>supus</w:t>
            </w:r>
            <w:proofErr w:type="spellEnd"/>
            <w:r w:rsidR="00E67647" w:rsidRPr="002A05E7">
              <w:rPr>
                <w:rFonts w:ascii="Times New Roman" w:hAnsi="Times New Roman"/>
                <w:color w:val="auto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67647" w:rsidRPr="002A05E7">
              <w:rPr>
                <w:rFonts w:ascii="Times New Roman" w:hAnsi="Times New Roman"/>
                <w:color w:val="auto"/>
                <w:sz w:val="24"/>
                <w:szCs w:val="24"/>
                <w:lang w:val="es-ES"/>
              </w:rPr>
              <w:t>consultărilor</w:t>
            </w:r>
            <w:proofErr w:type="spellEnd"/>
            <w:r w:rsidR="00E67647" w:rsidRPr="002A05E7">
              <w:rPr>
                <w:rFonts w:ascii="Times New Roman" w:hAnsi="Times New Roman"/>
                <w:color w:val="auto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67647" w:rsidRPr="002A05E7">
              <w:rPr>
                <w:rFonts w:ascii="Times New Roman" w:hAnsi="Times New Roman"/>
                <w:color w:val="auto"/>
                <w:sz w:val="24"/>
                <w:szCs w:val="24"/>
                <w:lang w:val="es-ES"/>
              </w:rPr>
              <w:t>comisiilor</w:t>
            </w:r>
            <w:proofErr w:type="spellEnd"/>
            <w:r w:rsidR="00E67647" w:rsidRPr="002A05E7">
              <w:rPr>
                <w:rFonts w:ascii="Times New Roman" w:hAnsi="Times New Roman"/>
                <w:color w:val="auto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67647" w:rsidRPr="002A05E7">
              <w:rPr>
                <w:rFonts w:ascii="Times New Roman" w:hAnsi="Times New Roman"/>
                <w:color w:val="auto"/>
                <w:sz w:val="24"/>
                <w:szCs w:val="24"/>
                <w:lang w:val="es-ES"/>
              </w:rPr>
              <w:t>interministeriale</w:t>
            </w:r>
            <w:proofErr w:type="spellEnd"/>
            <w:r w:rsidR="00E67647" w:rsidRPr="002A05E7">
              <w:rPr>
                <w:rFonts w:ascii="Times New Roman" w:hAnsi="Times New Roman"/>
                <w:color w:val="auto"/>
                <w:sz w:val="24"/>
                <w:szCs w:val="24"/>
                <w:lang w:val="es-ES"/>
              </w:rPr>
              <w:t>.</w:t>
            </w:r>
          </w:p>
        </w:tc>
      </w:tr>
      <w:tr w:rsidR="002A05E7" w:rsidRPr="002A05E7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5. Informaţii privind avizarea către:</w:t>
            </w:r>
          </w:p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a) Consiliul Legislativ</w:t>
            </w:r>
          </w:p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b) Consiliul Suprem de Apărare a Ţării</w:t>
            </w:r>
          </w:p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c) Consiliul Economic şi Social</w:t>
            </w:r>
          </w:p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d) Consiliul Concurenţei</w:t>
            </w:r>
          </w:p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e) Curtea de Conturi</w:t>
            </w:r>
          </w:p>
        </w:tc>
        <w:tc>
          <w:tcPr>
            <w:tcW w:w="6096" w:type="dxa"/>
            <w:gridSpan w:val="6"/>
          </w:tcPr>
          <w:p w:rsidR="00D3570C" w:rsidRPr="002A05E7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a fost avizat favorabil de Consiliul Legislativ.</w:t>
            </w:r>
          </w:p>
        </w:tc>
      </w:tr>
      <w:tr w:rsidR="00E67647" w:rsidRPr="002A05E7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E67647" w:rsidRPr="002A05E7" w:rsidRDefault="00E67647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6.Alte informații</w:t>
            </w:r>
          </w:p>
        </w:tc>
        <w:tc>
          <w:tcPr>
            <w:tcW w:w="6096" w:type="dxa"/>
            <w:gridSpan w:val="6"/>
          </w:tcPr>
          <w:p w:rsidR="00E67647" w:rsidRPr="002A05E7" w:rsidRDefault="00E67647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</w:p>
        </w:tc>
      </w:tr>
      <w:tr w:rsidR="002A05E7" w:rsidRPr="002A05E7" w:rsidTr="00C56848">
        <w:trPr>
          <w:gridBefore w:val="1"/>
          <w:wBefore w:w="29" w:type="dxa"/>
        </w:trPr>
        <w:tc>
          <w:tcPr>
            <w:tcW w:w="10632" w:type="dxa"/>
            <w:gridSpan w:val="9"/>
          </w:tcPr>
          <w:p w:rsidR="00EB7FC0" w:rsidRDefault="00D3570C" w:rsidP="007F5A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Secţiunea a 7-a: </w:t>
            </w:r>
          </w:p>
          <w:p w:rsidR="00EB7FC0" w:rsidRPr="002A05E7" w:rsidRDefault="00D3570C" w:rsidP="00877F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Activităţi de informare publică privind elaborarea şi implementarea proiectului de act normativ</w:t>
            </w:r>
          </w:p>
        </w:tc>
      </w:tr>
      <w:tr w:rsidR="002A05E7" w:rsidRPr="000714BA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ind w:left="-69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1. Informarea societăţii civile cu </w:t>
            </w:r>
          </w:p>
          <w:p w:rsidR="00D3570C" w:rsidRPr="002A05E7" w:rsidRDefault="00D3570C" w:rsidP="00E51C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privire la necesitatea elaborării proiectului de act normativ</w:t>
            </w:r>
          </w:p>
        </w:tc>
        <w:tc>
          <w:tcPr>
            <w:tcW w:w="6096" w:type="dxa"/>
            <w:gridSpan w:val="6"/>
          </w:tcPr>
          <w:p w:rsidR="00EB7FC0" w:rsidRPr="002451F5" w:rsidRDefault="00EB7FC0" w:rsidP="00EB7FC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51F5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   </w:t>
            </w:r>
            <w:r w:rsidRPr="002451F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În elaborarea proiectului a fost îndeplinită procedura stabilită prin Legea nr.52/2003 privind transparenţa decizională în administraţia publică, republicată, prin afişarea acestuia în vederea consultării pe pagina de internet a Ministerului </w:t>
            </w:r>
            <w:r w:rsidR="0070374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Mediului, </w:t>
            </w:r>
            <w:r w:rsidRPr="002451F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Apelor </w:t>
            </w:r>
            <w:proofErr w:type="spellStart"/>
            <w:r w:rsidRPr="002451F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2451F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Pădurilor. </w:t>
            </w:r>
          </w:p>
          <w:p w:rsidR="00D3570C" w:rsidRPr="00BA7A5B" w:rsidRDefault="00EB7FC0" w:rsidP="000714BA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</w:pPr>
            <w:r w:rsidRPr="002451F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  </w:t>
            </w:r>
            <w:proofErr w:type="spellStart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acest</w:t>
            </w:r>
            <w:proofErr w:type="spellEnd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sens, </w:t>
            </w:r>
            <w:proofErr w:type="spellStart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menționăm</w:t>
            </w:r>
            <w:proofErr w:type="spellEnd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faptul</w:t>
            </w:r>
            <w:proofErr w:type="spellEnd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că</w:t>
            </w:r>
            <w:proofErr w:type="spellEnd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proiectul</w:t>
            </w:r>
            <w:proofErr w:type="spellEnd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act</w:t>
            </w:r>
            <w:proofErr w:type="spellEnd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normativ</w:t>
            </w:r>
            <w:proofErr w:type="spellEnd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fost</w:t>
            </w:r>
            <w:proofErr w:type="spellEnd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postat</w:t>
            </w:r>
            <w:proofErr w:type="spellEnd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pe</w:t>
            </w:r>
            <w:proofErr w:type="spellEnd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site-</w:t>
            </w:r>
            <w:proofErr w:type="spellStart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ul</w:t>
            </w:r>
            <w:proofErr w:type="spellEnd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Ministerului</w:t>
            </w:r>
            <w:proofErr w:type="spellEnd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0374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Mediului</w:t>
            </w:r>
            <w:proofErr w:type="spellEnd"/>
            <w:r w:rsidR="0070374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Apelor</w:t>
            </w:r>
            <w:proofErr w:type="spellEnd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Pădurilor</w:t>
            </w:r>
            <w:proofErr w:type="spellEnd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adresa</w:t>
            </w:r>
            <w:proofErr w:type="spellEnd"/>
            <w:r w:rsidRPr="00BA7A5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r w:rsidRPr="00800ED5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/>
              </w:rPr>
              <w:t xml:space="preserve">www.apepaduri.gov.ro, </w:t>
            </w:r>
            <w:proofErr w:type="spellStart"/>
            <w:r w:rsidRPr="00800ED5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/>
              </w:rPr>
              <w:t>în</w:t>
            </w:r>
            <w:proofErr w:type="spellEnd"/>
            <w:r w:rsidRPr="00800ED5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/>
              </w:rPr>
              <w:t xml:space="preserve"> data </w:t>
            </w:r>
            <w:proofErr w:type="gramStart"/>
            <w:r w:rsidRPr="00800ED5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/>
              </w:rPr>
              <w:t>de</w:t>
            </w:r>
            <w:r w:rsidR="003561D1" w:rsidRPr="00800ED5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gramEnd"/>
            <w:r w:rsidR="000714BA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/>
              </w:rPr>
              <w:t>…</w:t>
            </w:r>
            <w:bookmarkStart w:id="0" w:name="_GoBack"/>
            <w:bookmarkEnd w:id="0"/>
            <w:r w:rsidR="00800ED5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00ED5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/>
              </w:rPr>
              <w:t>ianuarie</w:t>
            </w:r>
            <w:proofErr w:type="spellEnd"/>
            <w:r w:rsidR="00800ED5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/>
              </w:rPr>
              <w:t xml:space="preserve"> 2020</w:t>
            </w:r>
            <w:r w:rsidR="00800ED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fr-FR"/>
              </w:rPr>
              <w:t>…</w:t>
            </w:r>
          </w:p>
        </w:tc>
      </w:tr>
      <w:tr w:rsidR="002A05E7" w:rsidRPr="000714BA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6096" w:type="dxa"/>
            <w:gridSpan w:val="6"/>
          </w:tcPr>
          <w:p w:rsidR="00D3570C" w:rsidRPr="002A05E7" w:rsidRDefault="00294CAD" w:rsidP="00294CA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A05E7" w:rsidRPr="002A05E7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Alte informaţii</w:t>
            </w:r>
          </w:p>
        </w:tc>
        <w:tc>
          <w:tcPr>
            <w:tcW w:w="6096" w:type="dxa"/>
            <w:gridSpan w:val="6"/>
          </w:tcPr>
          <w:p w:rsidR="00EB7FC0" w:rsidRDefault="00EB7FC0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  <w:p w:rsidR="00D3570C" w:rsidRPr="002A05E7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  <w:r w:rsidR="00294CAD"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</w:t>
            </w:r>
          </w:p>
        </w:tc>
      </w:tr>
      <w:tr w:rsidR="002A05E7" w:rsidRPr="000714BA" w:rsidTr="007F5AB3">
        <w:trPr>
          <w:gridBefore w:val="1"/>
          <w:wBefore w:w="29" w:type="dxa"/>
          <w:trHeight w:val="291"/>
        </w:trPr>
        <w:tc>
          <w:tcPr>
            <w:tcW w:w="10632" w:type="dxa"/>
            <w:gridSpan w:val="9"/>
          </w:tcPr>
          <w:p w:rsidR="002A05E7" w:rsidRPr="002A05E7" w:rsidRDefault="00D3570C" w:rsidP="00946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8-a: Măsuri de implementare</w:t>
            </w:r>
          </w:p>
        </w:tc>
      </w:tr>
      <w:tr w:rsidR="002A05E7" w:rsidRPr="000714BA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 Măsurile de punere în aplicare a proiectului de act normativ de către  autorităţile administraţiei publice centrale şi/sau locale – înfiinţarea unor noi organisme sau extinderea competenţelor instituţiilor existente</w:t>
            </w:r>
          </w:p>
        </w:tc>
        <w:tc>
          <w:tcPr>
            <w:tcW w:w="6096" w:type="dxa"/>
            <w:gridSpan w:val="6"/>
          </w:tcPr>
          <w:p w:rsidR="00AE29B3" w:rsidRPr="002A05E7" w:rsidRDefault="00AE29B3" w:rsidP="00AE29B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D3570C" w:rsidRPr="002A05E7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2A05E7" w:rsidRPr="002A05E7" w:rsidTr="00C56848">
        <w:trPr>
          <w:gridBefore w:val="1"/>
          <w:wBefore w:w="29" w:type="dxa"/>
        </w:trPr>
        <w:tc>
          <w:tcPr>
            <w:tcW w:w="4536" w:type="dxa"/>
            <w:gridSpan w:val="3"/>
          </w:tcPr>
          <w:p w:rsidR="00D3570C" w:rsidRPr="002A05E7" w:rsidRDefault="00D3570C" w:rsidP="00E5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Alte informaţii</w:t>
            </w:r>
          </w:p>
        </w:tc>
        <w:tc>
          <w:tcPr>
            <w:tcW w:w="6096" w:type="dxa"/>
            <w:gridSpan w:val="6"/>
          </w:tcPr>
          <w:p w:rsidR="00D3570C" w:rsidRPr="002A05E7" w:rsidRDefault="00D3570C" w:rsidP="00E51CC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2A05E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</w:p>
        </w:tc>
      </w:tr>
    </w:tbl>
    <w:p w:rsidR="00877FC9" w:rsidRDefault="00877FC9" w:rsidP="00946835">
      <w:pPr>
        <w:tabs>
          <w:tab w:val="left" w:pos="6146"/>
        </w:tabs>
        <w:ind w:left="-567" w:firstLine="283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877FC9" w:rsidRDefault="00877FC9" w:rsidP="00946835">
      <w:pPr>
        <w:tabs>
          <w:tab w:val="left" w:pos="6146"/>
        </w:tabs>
        <w:ind w:left="-567" w:firstLine="283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EF1076" w:rsidRDefault="00EF1076" w:rsidP="00946835">
      <w:pPr>
        <w:tabs>
          <w:tab w:val="left" w:pos="6146"/>
        </w:tabs>
        <w:ind w:left="-567" w:firstLine="283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EF1076" w:rsidRDefault="00EF1076" w:rsidP="00946835">
      <w:pPr>
        <w:tabs>
          <w:tab w:val="left" w:pos="6146"/>
        </w:tabs>
        <w:ind w:left="-567" w:firstLine="283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EB7FC0" w:rsidRDefault="000B1F59" w:rsidP="00946835">
      <w:pPr>
        <w:tabs>
          <w:tab w:val="left" w:pos="6146"/>
        </w:tabs>
        <w:ind w:left="-567" w:firstLine="283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  <w:r w:rsidRPr="000B1F59">
        <w:rPr>
          <w:rFonts w:ascii="Times New Roman" w:hAnsi="Times New Roman"/>
          <w:color w:val="auto"/>
          <w:sz w:val="24"/>
          <w:szCs w:val="24"/>
          <w:lang w:val="ro-RO"/>
        </w:rPr>
        <w:lastRenderedPageBreak/>
        <w:t>Pentru considerentele de</w:t>
      </w:r>
      <w:r w:rsidR="00EF1076">
        <w:rPr>
          <w:rFonts w:ascii="Times New Roman" w:hAnsi="Times New Roman"/>
          <w:color w:val="auto"/>
          <w:sz w:val="24"/>
          <w:szCs w:val="24"/>
          <w:lang w:val="ro-RO"/>
        </w:rPr>
        <w:t xml:space="preserve"> mai sus, am elaborat</w:t>
      </w:r>
      <w:r w:rsidRPr="000B1F59">
        <w:rPr>
          <w:rFonts w:ascii="Times New Roman" w:hAnsi="Times New Roman"/>
          <w:color w:val="auto"/>
          <w:sz w:val="24"/>
          <w:szCs w:val="24"/>
          <w:lang w:val="ro-RO"/>
        </w:rPr>
        <w:t xml:space="preserve"> proiect</w:t>
      </w:r>
      <w:r w:rsidR="00EF1076">
        <w:rPr>
          <w:rFonts w:ascii="Times New Roman" w:hAnsi="Times New Roman"/>
          <w:color w:val="auto"/>
          <w:sz w:val="24"/>
          <w:szCs w:val="24"/>
          <w:lang w:val="ro-RO"/>
        </w:rPr>
        <w:t>ul de Hotărâre a</w:t>
      </w:r>
      <w:r w:rsidRPr="000B1F59">
        <w:rPr>
          <w:rFonts w:ascii="Times New Roman" w:hAnsi="Times New Roman"/>
          <w:color w:val="auto"/>
          <w:sz w:val="24"/>
          <w:szCs w:val="24"/>
          <w:lang w:val="ro-RO"/>
        </w:rPr>
        <w:t xml:space="preserve"> Guvern</w:t>
      </w:r>
      <w:r w:rsidR="00EF1076">
        <w:rPr>
          <w:rFonts w:ascii="Times New Roman" w:hAnsi="Times New Roman"/>
          <w:color w:val="auto"/>
          <w:sz w:val="24"/>
          <w:szCs w:val="24"/>
          <w:lang w:val="ro-RO"/>
        </w:rPr>
        <w:t>ului</w:t>
      </w:r>
      <w:r w:rsidRPr="000B1F59">
        <w:rPr>
          <w:rFonts w:ascii="Times New Roman" w:hAnsi="Times New Roman"/>
          <w:color w:val="auto"/>
          <w:sz w:val="24"/>
          <w:szCs w:val="24"/>
          <w:lang w:val="ro-RO"/>
        </w:rPr>
        <w:t xml:space="preserve"> pentru aprobar</w:t>
      </w:r>
      <w:r w:rsidR="00FB7D7C">
        <w:rPr>
          <w:rFonts w:ascii="Times New Roman" w:hAnsi="Times New Roman"/>
          <w:color w:val="auto"/>
          <w:sz w:val="24"/>
          <w:szCs w:val="24"/>
          <w:lang w:val="ro-RO"/>
        </w:rPr>
        <w:t xml:space="preserve">ea Protocolului Sesiunii a  </w:t>
      </w:r>
      <w:r>
        <w:rPr>
          <w:rFonts w:ascii="Times New Roman" w:hAnsi="Times New Roman"/>
          <w:color w:val="auto"/>
          <w:sz w:val="24"/>
          <w:szCs w:val="24"/>
          <w:lang w:val="ro-RO"/>
        </w:rPr>
        <w:t>X</w:t>
      </w:r>
      <w:r w:rsidR="00980903">
        <w:rPr>
          <w:rFonts w:ascii="Times New Roman" w:hAnsi="Times New Roman"/>
          <w:color w:val="auto"/>
          <w:sz w:val="24"/>
          <w:szCs w:val="24"/>
          <w:lang w:val="ro-RO"/>
        </w:rPr>
        <w:t>I</w:t>
      </w:r>
      <w:r w:rsidR="002451F5">
        <w:rPr>
          <w:rFonts w:ascii="Times New Roman" w:hAnsi="Times New Roman"/>
          <w:color w:val="auto"/>
          <w:sz w:val="24"/>
          <w:szCs w:val="24"/>
          <w:lang w:val="ro-RO"/>
        </w:rPr>
        <w:t xml:space="preserve">-a a </w:t>
      </w:r>
      <w:r w:rsidR="00980903">
        <w:rPr>
          <w:rFonts w:ascii="Times New Roman" w:hAnsi="Times New Roman"/>
          <w:color w:val="auto"/>
          <w:sz w:val="24"/>
          <w:szCs w:val="24"/>
          <w:lang w:val="ro-RO"/>
        </w:rPr>
        <w:t>Împuterniciților</w:t>
      </w:r>
      <w:r w:rsidR="002451F5">
        <w:rPr>
          <w:rFonts w:ascii="Times New Roman" w:hAnsi="Times New Roman"/>
          <w:color w:val="auto"/>
          <w:sz w:val="24"/>
          <w:szCs w:val="24"/>
          <w:lang w:val="ro-RO"/>
        </w:rPr>
        <w:t>,</w:t>
      </w:r>
      <w:r w:rsidRPr="000B1F59">
        <w:rPr>
          <w:rFonts w:ascii="Times New Roman" w:hAnsi="Times New Roman"/>
          <w:color w:val="auto"/>
          <w:sz w:val="24"/>
          <w:szCs w:val="24"/>
          <w:lang w:val="ro-RO"/>
        </w:rPr>
        <w:t xml:space="preserve"> semnat la </w:t>
      </w:r>
      <w:r w:rsidR="00980903">
        <w:rPr>
          <w:rFonts w:ascii="Times New Roman" w:hAnsi="Times New Roman"/>
          <w:color w:val="auto"/>
          <w:sz w:val="24"/>
          <w:szCs w:val="24"/>
          <w:lang w:val="ro-RO"/>
        </w:rPr>
        <w:t>Suceava</w:t>
      </w:r>
      <w:r w:rsidRPr="000B1F59">
        <w:rPr>
          <w:rFonts w:ascii="Times New Roman" w:hAnsi="Times New Roman"/>
          <w:color w:val="auto"/>
          <w:sz w:val="24"/>
          <w:szCs w:val="24"/>
          <w:lang w:val="ro-RO"/>
        </w:rPr>
        <w:t xml:space="preserve">, </w:t>
      </w:r>
      <w:r w:rsidR="00980903">
        <w:rPr>
          <w:rFonts w:ascii="Times New Roman" w:hAnsi="Times New Roman"/>
          <w:color w:val="auto"/>
          <w:sz w:val="24"/>
          <w:szCs w:val="24"/>
          <w:lang w:val="ro-RO"/>
        </w:rPr>
        <w:t>România</w:t>
      </w: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, </w:t>
      </w:r>
      <w:r w:rsidRPr="000B1F59">
        <w:rPr>
          <w:rFonts w:ascii="Times New Roman" w:hAnsi="Times New Roman"/>
          <w:color w:val="auto"/>
          <w:sz w:val="24"/>
          <w:szCs w:val="24"/>
          <w:lang w:val="ro-RO"/>
        </w:rPr>
        <w:t>la</w:t>
      </w:r>
      <w:r w:rsidR="00980903">
        <w:rPr>
          <w:rFonts w:ascii="Times New Roman" w:hAnsi="Times New Roman"/>
          <w:color w:val="auto"/>
          <w:sz w:val="24"/>
          <w:szCs w:val="24"/>
          <w:lang w:val="ro-RO"/>
        </w:rPr>
        <w:t xml:space="preserve"> 12</w:t>
      </w:r>
      <w:r w:rsidRPr="000B1F59"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 w:rsidR="00980903">
        <w:rPr>
          <w:rFonts w:ascii="Times New Roman" w:hAnsi="Times New Roman"/>
          <w:color w:val="auto"/>
          <w:sz w:val="24"/>
          <w:szCs w:val="24"/>
          <w:lang w:val="ro-RO"/>
        </w:rPr>
        <w:t>decembrie</w:t>
      </w:r>
      <w:r w:rsidR="00FB7D7C">
        <w:rPr>
          <w:rFonts w:ascii="Times New Roman" w:hAnsi="Times New Roman"/>
          <w:color w:val="auto"/>
          <w:sz w:val="24"/>
          <w:szCs w:val="24"/>
          <w:lang w:val="ro-RO"/>
        </w:rPr>
        <w:t xml:space="preserve"> 201</w:t>
      </w:r>
      <w:r w:rsidR="00980903">
        <w:rPr>
          <w:rFonts w:ascii="Times New Roman" w:hAnsi="Times New Roman"/>
          <w:color w:val="auto"/>
          <w:sz w:val="24"/>
          <w:szCs w:val="24"/>
          <w:lang w:val="ro-RO"/>
        </w:rPr>
        <w:t>9</w:t>
      </w:r>
      <w:r w:rsidRPr="000B1F59">
        <w:rPr>
          <w:rFonts w:ascii="Times New Roman" w:hAnsi="Times New Roman"/>
          <w:color w:val="auto"/>
          <w:sz w:val="24"/>
          <w:szCs w:val="24"/>
          <w:lang w:val="ro-RO"/>
        </w:rPr>
        <w:t>, pentru aplicarea Acordului între Guvernul României şi Guvernul Ucrainei, privind cooperarea în domeniul gospodăririi apelor de frontieră, semnat la Galaţi, la 30 septembrie 1997 care, în forma prezentată, a fost avizat de ministerele interesate şi de Consiliul Legislativ şi pe care îl supunem spre adoptare</w:t>
      </w:r>
      <w:r w:rsidR="002451F5">
        <w:rPr>
          <w:rFonts w:ascii="Times New Roman" w:hAnsi="Times New Roman"/>
          <w:color w:val="auto"/>
          <w:sz w:val="24"/>
          <w:szCs w:val="24"/>
          <w:lang w:val="ro-RO"/>
        </w:rPr>
        <w:t>.</w:t>
      </w:r>
    </w:p>
    <w:p w:rsidR="00EB7FC0" w:rsidRDefault="00EB7FC0" w:rsidP="002A05E7">
      <w:pPr>
        <w:tabs>
          <w:tab w:val="left" w:pos="6146"/>
        </w:tabs>
        <w:ind w:left="-56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EB7FC0" w:rsidRDefault="00EB7FC0" w:rsidP="002A05E7">
      <w:pPr>
        <w:tabs>
          <w:tab w:val="left" w:pos="6146"/>
        </w:tabs>
        <w:ind w:left="-56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EB7FC0" w:rsidRDefault="00EB7FC0" w:rsidP="002A05E7">
      <w:pPr>
        <w:tabs>
          <w:tab w:val="left" w:pos="6146"/>
        </w:tabs>
        <w:ind w:left="-56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7F5AB3" w:rsidRPr="002A05E7" w:rsidRDefault="007F5AB3" w:rsidP="002A05E7">
      <w:pPr>
        <w:tabs>
          <w:tab w:val="left" w:pos="6146"/>
        </w:tabs>
        <w:ind w:left="-567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2A05E7" w:rsidRDefault="002A05E7" w:rsidP="00D3570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2A05E7" w:rsidRDefault="002A05E7" w:rsidP="002A05E7">
      <w:pPr>
        <w:autoSpaceDE w:val="0"/>
        <w:autoSpaceDN w:val="0"/>
        <w:adjustRightInd w:val="0"/>
        <w:spacing w:line="276" w:lineRule="auto"/>
        <w:ind w:left="1440" w:firstLine="720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D3570C" w:rsidRPr="002A05E7" w:rsidRDefault="00D3570C" w:rsidP="006E6E82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2A05E7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MINISTRUL </w:t>
      </w:r>
      <w:r w:rsidR="00980903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MEDIULUI, </w:t>
      </w:r>
      <w:r w:rsidRPr="002A05E7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>APELOR  ŞI PĂDURILOR</w:t>
      </w:r>
    </w:p>
    <w:p w:rsidR="00D3570C" w:rsidRPr="002A05E7" w:rsidRDefault="00D3570C" w:rsidP="00D3570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  <w:lang w:val="ro-RO"/>
        </w:rPr>
      </w:pPr>
    </w:p>
    <w:p w:rsidR="00BA6529" w:rsidRPr="00E90B98" w:rsidRDefault="00030805" w:rsidP="00030805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jc w:val="center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030805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>Costel ALEXE</w:t>
      </w:r>
    </w:p>
    <w:p w:rsidR="00EF1076" w:rsidRDefault="00EF1076" w:rsidP="00EF1076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EF1076" w:rsidRDefault="00EF1076" w:rsidP="00EF1076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EF1076" w:rsidRDefault="00EF1076" w:rsidP="00EF1076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EF1076" w:rsidRDefault="00EF1076" w:rsidP="00EF1076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EF1076" w:rsidRDefault="00EF1076" w:rsidP="00EF1076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BA6529" w:rsidRDefault="00BA6529" w:rsidP="002A05E7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ind w:left="180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BA6529" w:rsidRDefault="00BA6529" w:rsidP="002A05E7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ind w:left="180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D3570C" w:rsidRPr="002A05E7" w:rsidRDefault="00D3570C" w:rsidP="00BA6529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ind w:left="18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2A05E7">
        <w:rPr>
          <w:rFonts w:ascii="Times New Roman" w:hAnsi="Times New Roman"/>
          <w:b/>
          <w:color w:val="auto"/>
          <w:sz w:val="24"/>
          <w:szCs w:val="24"/>
          <w:u w:val="single"/>
          <w:lang w:val="it-IT"/>
        </w:rPr>
        <w:t>Avizăm favorabil:</w:t>
      </w:r>
    </w:p>
    <w:p w:rsidR="00B03906" w:rsidRPr="002A05E7" w:rsidRDefault="00B03906" w:rsidP="00D3570C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ind w:left="180"/>
        <w:jc w:val="center"/>
        <w:rPr>
          <w:rFonts w:ascii="Times New Roman" w:hAnsi="Times New Roman"/>
          <w:b/>
          <w:color w:val="auto"/>
          <w:sz w:val="24"/>
          <w:szCs w:val="24"/>
          <w:u w:val="single"/>
          <w:lang w:val="it-IT"/>
        </w:rPr>
      </w:pPr>
    </w:p>
    <w:p w:rsidR="00B03906" w:rsidRPr="002A05E7" w:rsidRDefault="00B03906" w:rsidP="00D3570C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ind w:left="180"/>
        <w:jc w:val="center"/>
        <w:rPr>
          <w:rFonts w:ascii="Times New Roman" w:hAnsi="Times New Roman"/>
          <w:b/>
          <w:color w:val="auto"/>
          <w:sz w:val="24"/>
          <w:szCs w:val="24"/>
          <w:u w:val="single"/>
          <w:lang w:val="it-IT"/>
        </w:rPr>
      </w:pPr>
    </w:p>
    <w:p w:rsidR="00B03906" w:rsidRPr="002A05E7" w:rsidRDefault="00B03906" w:rsidP="00D3570C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ind w:left="180"/>
        <w:jc w:val="center"/>
        <w:rPr>
          <w:rFonts w:ascii="Times New Roman" w:hAnsi="Times New Roman"/>
          <w:color w:val="auto"/>
          <w:sz w:val="24"/>
          <w:szCs w:val="24"/>
          <w:lang w:val="it-IT"/>
        </w:rPr>
      </w:pPr>
    </w:p>
    <w:p w:rsidR="00D3570C" w:rsidRPr="002A05E7" w:rsidRDefault="00D3570C" w:rsidP="00D3570C">
      <w:pPr>
        <w:tabs>
          <w:tab w:val="left" w:pos="-540"/>
          <w:tab w:val="left" w:pos="0"/>
        </w:tabs>
        <w:ind w:left="180"/>
        <w:jc w:val="both"/>
        <w:rPr>
          <w:rFonts w:ascii="Times New Roman" w:hAnsi="Times New Roman"/>
          <w:color w:val="auto"/>
          <w:sz w:val="24"/>
          <w:szCs w:val="24"/>
          <w:lang w:val="it-IT"/>
        </w:rPr>
      </w:pPr>
    </w:p>
    <w:p w:rsidR="00BA6529" w:rsidRDefault="00BA6529" w:rsidP="00D357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BA6529" w:rsidRDefault="00BA6529" w:rsidP="00D357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BA6529" w:rsidRDefault="00BA6529" w:rsidP="00D357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D3570C" w:rsidRPr="002A05E7" w:rsidRDefault="00B03906" w:rsidP="00D357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2A05E7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>MINISTRU</w:t>
      </w:r>
      <w:r w:rsidR="009C38B3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>L</w:t>
      </w:r>
      <w:r w:rsidRPr="002A05E7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AFACERILOR EXTERNE    </w:t>
      </w:r>
      <w:r w:rsidR="008A56C2" w:rsidRPr="002A05E7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                    </w:t>
      </w:r>
      <w:r w:rsidR="00BA6529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            </w:t>
      </w:r>
      <w:r w:rsidRPr="002A05E7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>MINISTRUL JUSTIȚIEI</w:t>
      </w:r>
    </w:p>
    <w:p w:rsidR="008A56C2" w:rsidRPr="002A05E7" w:rsidRDefault="008A56C2" w:rsidP="00D357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8A56C2" w:rsidRPr="002A05E7" w:rsidRDefault="008A56C2" w:rsidP="00D357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  <w:r w:rsidRPr="002A05E7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 </w:t>
      </w:r>
      <w:r w:rsidR="00BA6529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  </w:t>
      </w:r>
      <w:r w:rsidRPr="002A05E7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</w:t>
      </w:r>
      <w:r w:rsidR="00030805" w:rsidRPr="00030805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>Bogdan Lucian AURESCU</w:t>
      </w:r>
      <w:r w:rsidRPr="002A05E7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                                       </w:t>
      </w:r>
      <w:r w:rsidR="00A66E0A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</w:t>
      </w:r>
      <w:r w:rsidRPr="002A05E7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</w:t>
      </w:r>
      <w:r w:rsidR="00BA6529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 xml:space="preserve">           </w:t>
      </w:r>
      <w:r w:rsidR="00980903" w:rsidRPr="00980903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>Marian Cătălin PREDOIU</w:t>
      </w:r>
    </w:p>
    <w:p w:rsidR="00B03906" w:rsidRPr="002A05E7" w:rsidRDefault="00B03906" w:rsidP="00D357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B03906" w:rsidRPr="002A05E7" w:rsidRDefault="00B03906" w:rsidP="00D357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B03906" w:rsidRPr="002A05E7" w:rsidRDefault="00B03906" w:rsidP="00D357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8A56C2" w:rsidRPr="002A05E7" w:rsidRDefault="008A56C2" w:rsidP="00D3570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ro-RO"/>
        </w:rPr>
      </w:pPr>
    </w:p>
    <w:p w:rsidR="00066E87" w:rsidRDefault="00066E87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066E87" w:rsidRDefault="00066E87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7F12A7" w:rsidRDefault="007F12A7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7F12A7" w:rsidRDefault="007F12A7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685CAD" w:rsidRDefault="00685CAD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685CAD" w:rsidRDefault="00685CAD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BA6529" w:rsidRDefault="00BA6529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BA6529" w:rsidRDefault="00BA6529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BA6529" w:rsidRDefault="00BA6529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BA6529" w:rsidRDefault="00BA6529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BA6529" w:rsidRDefault="00BA6529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BA6529" w:rsidRDefault="00BA6529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EF1076" w:rsidRDefault="00EF1076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EF1076" w:rsidRDefault="00EF1076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B03906" w:rsidRPr="002A05E7" w:rsidRDefault="00B03906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2A05E7">
        <w:rPr>
          <w:rFonts w:ascii="Times New Roman" w:hAnsi="Times New Roman"/>
          <w:b/>
          <w:color w:val="auto"/>
          <w:sz w:val="24"/>
          <w:szCs w:val="24"/>
          <w:lang w:val="ro-RO"/>
        </w:rPr>
        <w:lastRenderedPageBreak/>
        <w:t>AVIZAT:</w:t>
      </w:r>
    </w:p>
    <w:p w:rsidR="00B03906" w:rsidRPr="002A05E7" w:rsidRDefault="00B03906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B03906" w:rsidRPr="002A05E7" w:rsidRDefault="00030805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                                                                                                        </w:t>
      </w:r>
    </w:p>
    <w:p w:rsidR="00030805" w:rsidRDefault="00030805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B03906" w:rsidRPr="002A05E7" w:rsidRDefault="00030805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/>
          <w:b/>
          <w:color w:val="auto"/>
          <w:sz w:val="24"/>
          <w:szCs w:val="24"/>
          <w:lang w:val="ro-RO"/>
        </w:rPr>
        <w:t>Secretar General</w:t>
      </w:r>
    </w:p>
    <w:p w:rsidR="00B03906" w:rsidRPr="002A05E7" w:rsidRDefault="00B03906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B03906" w:rsidRPr="002A05E7" w:rsidRDefault="00800ED5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800ED5">
        <w:rPr>
          <w:rFonts w:ascii="Times New Roman" w:hAnsi="Times New Roman"/>
          <w:b/>
          <w:color w:val="auto"/>
          <w:sz w:val="24"/>
          <w:szCs w:val="24"/>
          <w:lang w:val="ro-RO"/>
        </w:rPr>
        <w:t>Győző-István BÁRCZI</w:t>
      </w:r>
    </w:p>
    <w:p w:rsidR="00B03906" w:rsidRPr="002A05E7" w:rsidRDefault="00B03906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800ED5" w:rsidRDefault="00800ED5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B03906" w:rsidRPr="002A05E7" w:rsidRDefault="00B03906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2A05E7">
        <w:rPr>
          <w:rFonts w:ascii="Times New Roman" w:hAnsi="Times New Roman"/>
          <w:b/>
          <w:color w:val="auto"/>
          <w:sz w:val="24"/>
          <w:szCs w:val="24"/>
          <w:lang w:val="ro-RO"/>
        </w:rPr>
        <w:t>Direcția Juridică</w:t>
      </w:r>
    </w:p>
    <w:p w:rsidR="00B03906" w:rsidRPr="002A05E7" w:rsidRDefault="00B03906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B03906" w:rsidRPr="002A05E7" w:rsidRDefault="00E90B98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/>
          <w:b/>
          <w:color w:val="auto"/>
          <w:sz w:val="24"/>
          <w:szCs w:val="24"/>
          <w:lang w:val="ro-RO"/>
        </w:rPr>
        <w:t>Cristian ALEXE</w:t>
      </w:r>
      <w:r w:rsidR="00B03906" w:rsidRPr="002A05E7">
        <w:rPr>
          <w:rFonts w:ascii="Times New Roman" w:hAnsi="Times New Roman"/>
          <w:b/>
          <w:color w:val="auto"/>
          <w:sz w:val="24"/>
          <w:szCs w:val="24"/>
          <w:lang w:val="ro-RO"/>
        </w:rPr>
        <w:t>, Director</w:t>
      </w:r>
    </w:p>
    <w:p w:rsidR="00B03906" w:rsidRPr="002A05E7" w:rsidRDefault="00B03906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B03906" w:rsidRDefault="00B03906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2A05E7" w:rsidRPr="002A05E7" w:rsidRDefault="002A05E7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B03906" w:rsidRPr="002A05E7" w:rsidRDefault="00B03906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2A05E7">
        <w:rPr>
          <w:rFonts w:ascii="Times New Roman" w:hAnsi="Times New Roman"/>
          <w:b/>
          <w:color w:val="auto"/>
          <w:sz w:val="24"/>
          <w:szCs w:val="24"/>
          <w:lang w:val="ro-RO"/>
        </w:rPr>
        <w:t>Direcția Generală Ape</w:t>
      </w:r>
    </w:p>
    <w:p w:rsidR="00B03906" w:rsidRPr="002A05E7" w:rsidRDefault="00B03906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B03906" w:rsidRPr="002A05E7" w:rsidRDefault="00B03906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2A05E7">
        <w:rPr>
          <w:rFonts w:ascii="Times New Roman" w:hAnsi="Times New Roman"/>
          <w:b/>
          <w:color w:val="auto"/>
          <w:sz w:val="24"/>
          <w:szCs w:val="24"/>
          <w:lang w:val="ro-RO"/>
        </w:rPr>
        <w:t>Simona Olimpia NEGRU, Director general</w:t>
      </w:r>
    </w:p>
    <w:p w:rsidR="00B03906" w:rsidRPr="002A05E7" w:rsidRDefault="00B03906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B03906" w:rsidRDefault="00B03906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2A05E7" w:rsidRPr="002A05E7" w:rsidRDefault="002A05E7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B03906" w:rsidRPr="002A05E7" w:rsidRDefault="00B03906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2A05E7">
        <w:rPr>
          <w:rFonts w:ascii="Times New Roman" w:hAnsi="Times New Roman"/>
          <w:b/>
          <w:color w:val="auto"/>
          <w:sz w:val="24"/>
          <w:szCs w:val="24"/>
          <w:lang w:val="ro-RO"/>
        </w:rPr>
        <w:t>Direcția Managementul Resurselor de Apă</w:t>
      </w:r>
    </w:p>
    <w:p w:rsidR="00B03906" w:rsidRPr="002A05E7" w:rsidRDefault="00B03906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B03906" w:rsidRPr="002A05E7" w:rsidRDefault="00B03906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2A05E7">
        <w:rPr>
          <w:rFonts w:ascii="Times New Roman" w:hAnsi="Times New Roman"/>
          <w:b/>
          <w:color w:val="auto"/>
          <w:sz w:val="24"/>
          <w:szCs w:val="24"/>
          <w:lang w:val="ro-RO"/>
        </w:rPr>
        <w:t>Gheorghe CONSTANTIN,  Director</w:t>
      </w:r>
    </w:p>
    <w:p w:rsidR="00B03906" w:rsidRPr="002A05E7" w:rsidRDefault="00B03906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B03906" w:rsidRDefault="00B03906" w:rsidP="00B03906">
      <w:pPr>
        <w:jc w:val="center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2A05E7" w:rsidRPr="002A05E7" w:rsidRDefault="002A05E7" w:rsidP="00B03906">
      <w:pPr>
        <w:jc w:val="center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B03906" w:rsidRPr="002A05E7" w:rsidRDefault="00AD58FD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/>
          <w:b/>
          <w:color w:val="auto"/>
          <w:sz w:val="24"/>
          <w:szCs w:val="24"/>
          <w:lang w:val="ro-RO"/>
        </w:rPr>
        <w:t>Întocmit: Carmen NEAGU</w:t>
      </w:r>
    </w:p>
    <w:p w:rsidR="00B03906" w:rsidRPr="002A05E7" w:rsidRDefault="00B03906" w:rsidP="00B03906">
      <w:pPr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D3570C" w:rsidRPr="002A05E7" w:rsidRDefault="00B03906" w:rsidP="002A05E7">
      <w:pPr>
        <w:rPr>
          <w:rFonts w:ascii="Times New Roman" w:hAnsi="Times New Roman"/>
          <w:color w:val="auto"/>
          <w:sz w:val="24"/>
          <w:szCs w:val="24"/>
          <w:lang w:val="ro-RO"/>
        </w:rPr>
      </w:pPr>
      <w:r w:rsidRPr="002A05E7">
        <w:rPr>
          <w:rFonts w:ascii="Times New Roman" w:hAnsi="Times New Roman"/>
          <w:b/>
          <w:color w:val="auto"/>
          <w:sz w:val="24"/>
          <w:szCs w:val="24"/>
          <w:lang w:val="ro-RO"/>
        </w:rPr>
        <w:t>Consilier superior, Direcția Managementul Resurselor de Apă</w:t>
      </w:r>
    </w:p>
    <w:sectPr w:rsidR="00D3570C" w:rsidRPr="002A05E7" w:rsidSect="00A177ED">
      <w:pgSz w:w="12240" w:h="15840"/>
      <w:pgMar w:top="719" w:right="540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CCA"/>
    <w:multiLevelType w:val="hybridMultilevel"/>
    <w:tmpl w:val="D3D2A69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A6F58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2B0DB8"/>
    <w:multiLevelType w:val="hybridMultilevel"/>
    <w:tmpl w:val="2BCA6E82"/>
    <w:lvl w:ilvl="0" w:tplc="FBFA58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158C5"/>
    <w:multiLevelType w:val="hybridMultilevel"/>
    <w:tmpl w:val="679E79CC"/>
    <w:lvl w:ilvl="0" w:tplc="AAEE1B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0023FE"/>
    <w:multiLevelType w:val="hybridMultilevel"/>
    <w:tmpl w:val="9982B544"/>
    <w:lvl w:ilvl="0" w:tplc="FE42B94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26F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242A"/>
    <w:multiLevelType w:val="hybridMultilevel"/>
    <w:tmpl w:val="09F6875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E6FE22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A2FAB8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207A8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B615D6E"/>
    <w:multiLevelType w:val="hybridMultilevel"/>
    <w:tmpl w:val="851884B2"/>
    <w:lvl w:ilvl="0" w:tplc="368AB49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FB54A6"/>
    <w:multiLevelType w:val="hybridMultilevel"/>
    <w:tmpl w:val="1A98B764"/>
    <w:lvl w:ilvl="0" w:tplc="91D65B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64AEE"/>
    <w:multiLevelType w:val="hybridMultilevel"/>
    <w:tmpl w:val="E95862FC"/>
    <w:lvl w:ilvl="0" w:tplc="E344699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B3DCF"/>
    <w:multiLevelType w:val="hybridMultilevel"/>
    <w:tmpl w:val="3AA2C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771F2"/>
    <w:multiLevelType w:val="hybridMultilevel"/>
    <w:tmpl w:val="00202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A118E"/>
    <w:multiLevelType w:val="hybridMultilevel"/>
    <w:tmpl w:val="107472FE"/>
    <w:lvl w:ilvl="0" w:tplc="9BDCA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2B94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FB3081"/>
    <w:multiLevelType w:val="hybridMultilevel"/>
    <w:tmpl w:val="E4EA7408"/>
    <w:lvl w:ilvl="0" w:tplc="DA0E0F34">
      <w:start w:val="1"/>
      <w:numFmt w:val="lowerLetter"/>
      <w:lvlText w:val="(%1)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7D5349"/>
    <w:multiLevelType w:val="hybridMultilevel"/>
    <w:tmpl w:val="B232D2DA"/>
    <w:lvl w:ilvl="0" w:tplc="08A852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30251E"/>
    <w:multiLevelType w:val="hybridMultilevel"/>
    <w:tmpl w:val="22FEE1C6"/>
    <w:lvl w:ilvl="0" w:tplc="104C8D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CCA19E1"/>
    <w:multiLevelType w:val="hybridMultilevel"/>
    <w:tmpl w:val="B2389B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422B3"/>
    <w:multiLevelType w:val="hybridMultilevel"/>
    <w:tmpl w:val="EF6A56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F0514"/>
    <w:multiLevelType w:val="hybridMultilevel"/>
    <w:tmpl w:val="7AA458DC"/>
    <w:lvl w:ilvl="0" w:tplc="42AC38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359F2"/>
    <w:multiLevelType w:val="hybridMultilevel"/>
    <w:tmpl w:val="35FE9C28"/>
    <w:lvl w:ilvl="0" w:tplc="3A8A2B62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4554E5A"/>
    <w:multiLevelType w:val="hybridMultilevel"/>
    <w:tmpl w:val="A15E44A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44167"/>
    <w:multiLevelType w:val="hybridMultilevel"/>
    <w:tmpl w:val="9E08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2383C"/>
    <w:multiLevelType w:val="hybridMultilevel"/>
    <w:tmpl w:val="2F16E676"/>
    <w:lvl w:ilvl="0" w:tplc="A7C498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13"/>
  </w:num>
  <w:num w:numId="6">
    <w:abstractNumId w:val="14"/>
  </w:num>
  <w:num w:numId="7">
    <w:abstractNumId w:val="15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10"/>
  </w:num>
  <w:num w:numId="14">
    <w:abstractNumId w:val="0"/>
  </w:num>
  <w:num w:numId="15">
    <w:abstractNumId w:val="4"/>
  </w:num>
  <w:num w:numId="16">
    <w:abstractNumId w:val="20"/>
  </w:num>
  <w:num w:numId="17">
    <w:abstractNumId w:val="19"/>
  </w:num>
  <w:num w:numId="18">
    <w:abstractNumId w:val="16"/>
  </w:num>
  <w:num w:numId="19">
    <w:abstractNumId w:val="17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0C"/>
    <w:rsid w:val="00003C45"/>
    <w:rsid w:val="00030805"/>
    <w:rsid w:val="00036119"/>
    <w:rsid w:val="00066E87"/>
    <w:rsid w:val="000714BA"/>
    <w:rsid w:val="0008601B"/>
    <w:rsid w:val="00086369"/>
    <w:rsid w:val="000A202C"/>
    <w:rsid w:val="000A6F49"/>
    <w:rsid w:val="000B1F59"/>
    <w:rsid w:val="000B598D"/>
    <w:rsid w:val="000E01C1"/>
    <w:rsid w:val="000E2836"/>
    <w:rsid w:val="000F0F22"/>
    <w:rsid w:val="00102460"/>
    <w:rsid w:val="00137D80"/>
    <w:rsid w:val="00153291"/>
    <w:rsid w:val="001661D6"/>
    <w:rsid w:val="00196EEB"/>
    <w:rsid w:val="001A48C9"/>
    <w:rsid w:val="001E3084"/>
    <w:rsid w:val="001F0EE9"/>
    <w:rsid w:val="001F2153"/>
    <w:rsid w:val="00207B3C"/>
    <w:rsid w:val="00220D0C"/>
    <w:rsid w:val="00227521"/>
    <w:rsid w:val="002318C1"/>
    <w:rsid w:val="002407A4"/>
    <w:rsid w:val="00243943"/>
    <w:rsid w:val="00243BD4"/>
    <w:rsid w:val="002451F5"/>
    <w:rsid w:val="00275A4B"/>
    <w:rsid w:val="00294CAD"/>
    <w:rsid w:val="002A05E7"/>
    <w:rsid w:val="002A6D02"/>
    <w:rsid w:val="00304AF5"/>
    <w:rsid w:val="0031565A"/>
    <w:rsid w:val="00330ECC"/>
    <w:rsid w:val="00336094"/>
    <w:rsid w:val="003561D1"/>
    <w:rsid w:val="003E3497"/>
    <w:rsid w:val="004062C6"/>
    <w:rsid w:val="00406DB6"/>
    <w:rsid w:val="00420993"/>
    <w:rsid w:val="004313FD"/>
    <w:rsid w:val="004376C1"/>
    <w:rsid w:val="0049227D"/>
    <w:rsid w:val="004B0661"/>
    <w:rsid w:val="004F79AC"/>
    <w:rsid w:val="005200E8"/>
    <w:rsid w:val="00542B1E"/>
    <w:rsid w:val="00565649"/>
    <w:rsid w:val="00570CFA"/>
    <w:rsid w:val="005F003C"/>
    <w:rsid w:val="0060742E"/>
    <w:rsid w:val="00627A15"/>
    <w:rsid w:val="0063128F"/>
    <w:rsid w:val="00670075"/>
    <w:rsid w:val="00680112"/>
    <w:rsid w:val="00685CAD"/>
    <w:rsid w:val="00693146"/>
    <w:rsid w:val="00693940"/>
    <w:rsid w:val="006A59E5"/>
    <w:rsid w:val="006B4113"/>
    <w:rsid w:val="006C2D0A"/>
    <w:rsid w:val="006D3DF2"/>
    <w:rsid w:val="006D7ABA"/>
    <w:rsid w:val="006E6E82"/>
    <w:rsid w:val="0070374C"/>
    <w:rsid w:val="00776447"/>
    <w:rsid w:val="007A5D6E"/>
    <w:rsid w:val="007A72FE"/>
    <w:rsid w:val="007B298D"/>
    <w:rsid w:val="007C5EB5"/>
    <w:rsid w:val="007E3C23"/>
    <w:rsid w:val="007E4CE1"/>
    <w:rsid w:val="007F12A7"/>
    <w:rsid w:val="007F5AB3"/>
    <w:rsid w:val="00800ED5"/>
    <w:rsid w:val="0080408E"/>
    <w:rsid w:val="00867F81"/>
    <w:rsid w:val="00877393"/>
    <w:rsid w:val="00877CF7"/>
    <w:rsid w:val="00877FC9"/>
    <w:rsid w:val="00882BF3"/>
    <w:rsid w:val="00893A27"/>
    <w:rsid w:val="008A2101"/>
    <w:rsid w:val="008A2EB6"/>
    <w:rsid w:val="008A56C2"/>
    <w:rsid w:val="008A7BA4"/>
    <w:rsid w:val="008B4EBA"/>
    <w:rsid w:val="008D5519"/>
    <w:rsid w:val="0090274F"/>
    <w:rsid w:val="00911AD6"/>
    <w:rsid w:val="00921F34"/>
    <w:rsid w:val="00946835"/>
    <w:rsid w:val="00953BBE"/>
    <w:rsid w:val="009740F5"/>
    <w:rsid w:val="00980903"/>
    <w:rsid w:val="0098270A"/>
    <w:rsid w:val="009C38B3"/>
    <w:rsid w:val="009E56EB"/>
    <w:rsid w:val="00A24F1B"/>
    <w:rsid w:val="00A32AA2"/>
    <w:rsid w:val="00A40B20"/>
    <w:rsid w:val="00A435FD"/>
    <w:rsid w:val="00A6553A"/>
    <w:rsid w:val="00A66E0A"/>
    <w:rsid w:val="00A831C1"/>
    <w:rsid w:val="00A91825"/>
    <w:rsid w:val="00A95D54"/>
    <w:rsid w:val="00AC2716"/>
    <w:rsid w:val="00AD58FD"/>
    <w:rsid w:val="00AE29B3"/>
    <w:rsid w:val="00B03906"/>
    <w:rsid w:val="00B25DBE"/>
    <w:rsid w:val="00B411D7"/>
    <w:rsid w:val="00B872F0"/>
    <w:rsid w:val="00BA6529"/>
    <w:rsid w:val="00BA7A5B"/>
    <w:rsid w:val="00BC17A4"/>
    <w:rsid w:val="00BD3CBD"/>
    <w:rsid w:val="00BE3397"/>
    <w:rsid w:val="00C04261"/>
    <w:rsid w:val="00C052C9"/>
    <w:rsid w:val="00C21F65"/>
    <w:rsid w:val="00C56848"/>
    <w:rsid w:val="00C630C9"/>
    <w:rsid w:val="00C72BAD"/>
    <w:rsid w:val="00C72D64"/>
    <w:rsid w:val="00C8266E"/>
    <w:rsid w:val="00C84406"/>
    <w:rsid w:val="00CB37F0"/>
    <w:rsid w:val="00CC6138"/>
    <w:rsid w:val="00CD75E3"/>
    <w:rsid w:val="00D3570C"/>
    <w:rsid w:val="00D97F99"/>
    <w:rsid w:val="00DA3A61"/>
    <w:rsid w:val="00DC2C44"/>
    <w:rsid w:val="00DE1DE6"/>
    <w:rsid w:val="00DE1EB7"/>
    <w:rsid w:val="00E0769D"/>
    <w:rsid w:val="00E67647"/>
    <w:rsid w:val="00E807F4"/>
    <w:rsid w:val="00E8597C"/>
    <w:rsid w:val="00E90B98"/>
    <w:rsid w:val="00E92615"/>
    <w:rsid w:val="00EB7FC0"/>
    <w:rsid w:val="00EF1076"/>
    <w:rsid w:val="00FA4EE2"/>
    <w:rsid w:val="00FB7D7C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AA078-AD49-4700-BF27-BDE4A25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70C"/>
    <w:pPr>
      <w:spacing w:after="0" w:line="240" w:lineRule="auto"/>
    </w:pPr>
    <w:rPr>
      <w:rFonts w:ascii="Calibri" w:eastAsia="Calibri" w:hAnsi="Calibri" w:cs="Times New Roman"/>
      <w:color w:val="00000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rsid w:val="00D3570C"/>
    <w:rPr>
      <w:b/>
      <w:bCs/>
      <w:sz w:val="26"/>
      <w:szCs w:val="26"/>
    </w:rPr>
  </w:style>
  <w:style w:type="paragraph" w:customStyle="1" w:styleId="doc-ti">
    <w:name w:val="doc-ti"/>
    <w:basedOn w:val="Normal"/>
    <w:rsid w:val="00D3570C"/>
    <w:pPr>
      <w:spacing w:before="209" w:after="105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bidi="ar-SA"/>
    </w:rPr>
  </w:style>
  <w:style w:type="paragraph" w:styleId="Footer">
    <w:name w:val="footer"/>
    <w:basedOn w:val="Normal"/>
    <w:link w:val="FooterChar"/>
    <w:rsid w:val="00D35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570C"/>
    <w:rPr>
      <w:rFonts w:ascii="Calibri" w:eastAsia="Calibri" w:hAnsi="Calibri" w:cs="Times New Roman"/>
      <w:color w:val="000000"/>
      <w:szCs w:val="20"/>
      <w:lang w:bidi="en-US"/>
    </w:rPr>
  </w:style>
  <w:style w:type="character" w:customStyle="1" w:styleId="sttpunct">
    <w:name w:val="st_tpunct"/>
    <w:basedOn w:val="DefaultParagraphFont"/>
    <w:rsid w:val="00D3570C"/>
  </w:style>
  <w:style w:type="paragraph" w:customStyle="1" w:styleId="CaracterCaracter1CharCharCaracterCaracter1CharCharCaracterCaracterCharCharCaracterCaracter">
    <w:name w:val="Caracter Caracter1 Char Char Caracter Caracter1 Char Char Caracter Caracter Char Char Caracter Caracter"/>
    <w:basedOn w:val="Normal"/>
    <w:rsid w:val="00A24F1B"/>
    <w:pPr>
      <w:spacing w:after="160" w:line="240" w:lineRule="exact"/>
    </w:pPr>
    <w:rPr>
      <w:rFonts w:ascii="Tahoma" w:eastAsia="Times New Roman" w:hAnsi="Tahoma"/>
      <w:color w:val="auto"/>
      <w:sz w:val="20"/>
      <w:lang w:val="ro-RO" w:bidi="ar-SA"/>
    </w:rPr>
  </w:style>
  <w:style w:type="paragraph" w:customStyle="1" w:styleId="CaracterCaracter1CharCharCaracterCaracter1CharCharCaracterCaracterCharCharCaracterCaracter0">
    <w:name w:val="Caracter Caracter1 Char Char Caracter Caracter1 Char Char Caracter Caracter Char Char Caracter Caracter"/>
    <w:basedOn w:val="Normal"/>
    <w:rsid w:val="00102460"/>
    <w:pPr>
      <w:spacing w:after="160" w:line="240" w:lineRule="exact"/>
    </w:pPr>
    <w:rPr>
      <w:rFonts w:ascii="Tahoma" w:eastAsia="Times New Roman" w:hAnsi="Tahoma"/>
      <w:color w:val="auto"/>
      <w:sz w:val="20"/>
      <w:lang w:val="ro-RO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86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1B"/>
    <w:rPr>
      <w:rFonts w:ascii="Calibri" w:eastAsia="Calibri" w:hAnsi="Calibri" w:cs="Times New Roman"/>
      <w:color w:val="000000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1B"/>
    <w:rPr>
      <w:rFonts w:ascii="Calibri" w:eastAsia="Calibri" w:hAnsi="Calibri" w:cs="Times New Roman"/>
      <w:b/>
      <w:bCs/>
      <w:color w:val="000000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B"/>
    <w:rPr>
      <w:rFonts w:ascii="Segoe UI" w:eastAsia="Calibri" w:hAnsi="Segoe UI" w:cs="Segoe UI"/>
      <w:color w:val="000000"/>
      <w:sz w:val="18"/>
      <w:szCs w:val="18"/>
      <w:lang w:bidi="en-US"/>
    </w:rPr>
  </w:style>
  <w:style w:type="paragraph" w:customStyle="1" w:styleId="CaracterCaracter1CharCharCaracterCaracter1CharCharCaracterCaracterCharCharCaracterCaracter1">
    <w:name w:val="Caracter Caracter1 Char Char Caracter Caracter1 Char Char Caracter Caracter Char Char Caracter Caracter"/>
    <w:basedOn w:val="Normal"/>
    <w:rsid w:val="00921F34"/>
    <w:pPr>
      <w:spacing w:after="160" w:line="240" w:lineRule="exact"/>
    </w:pPr>
    <w:rPr>
      <w:rFonts w:ascii="Tahoma" w:eastAsia="Times New Roman" w:hAnsi="Tahoma"/>
      <w:color w:val="auto"/>
      <w:sz w:val="20"/>
      <w:lang w:val="ro-RO" w:bidi="ar-SA"/>
    </w:rPr>
  </w:style>
  <w:style w:type="character" w:styleId="Strong">
    <w:name w:val="Strong"/>
    <w:basedOn w:val="DefaultParagraphFont"/>
    <w:uiPriority w:val="22"/>
    <w:qFormat/>
    <w:rsid w:val="001661D6"/>
    <w:rPr>
      <w:b/>
      <w:bCs/>
    </w:rPr>
  </w:style>
  <w:style w:type="paragraph" w:styleId="BodyText">
    <w:name w:val="Body Text"/>
    <w:basedOn w:val="Normal"/>
    <w:link w:val="BodyTextChar"/>
    <w:rsid w:val="00003C45"/>
    <w:pPr>
      <w:jc w:val="both"/>
    </w:pPr>
    <w:rPr>
      <w:rFonts w:ascii="Times New Roman" w:eastAsia="Times New Roman" w:hAnsi="Times New Roman"/>
      <w:color w:val="auto"/>
      <w:sz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003C45"/>
    <w:rPr>
      <w:rFonts w:ascii="Times New Roman" w:eastAsia="Times New Roman" w:hAnsi="Times New Roman" w:cs="Times New Roman"/>
      <w:sz w:val="28"/>
      <w:szCs w:val="20"/>
    </w:rPr>
  </w:style>
  <w:style w:type="character" w:customStyle="1" w:styleId="tpa1">
    <w:name w:val="tpa1"/>
    <w:basedOn w:val="DefaultParagraphFont"/>
    <w:rsid w:val="00B872F0"/>
  </w:style>
  <w:style w:type="paragraph" w:styleId="ListParagraph">
    <w:name w:val="List Paragraph"/>
    <w:basedOn w:val="Normal"/>
    <w:uiPriority w:val="34"/>
    <w:qFormat/>
    <w:rsid w:val="000E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07237-A8D7-4D1C-9309-3802A7EF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1870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Carmen.Neagu</cp:lastModifiedBy>
  <cp:revision>50</cp:revision>
  <cp:lastPrinted>2018-11-06T08:51:00Z</cp:lastPrinted>
  <dcterms:created xsi:type="dcterms:W3CDTF">2017-07-11T13:48:00Z</dcterms:created>
  <dcterms:modified xsi:type="dcterms:W3CDTF">2020-01-10T12:25:00Z</dcterms:modified>
</cp:coreProperties>
</file>