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7F" w:rsidRPr="007F7FE2" w:rsidRDefault="00EF227F" w:rsidP="00EF2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</w:pPr>
      <w:r w:rsidRPr="007F7FE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  <w:t xml:space="preserve">                      MINISTERUL MEDIULUI, APELOR ȘI PĂDURILOR</w:t>
      </w:r>
    </w:p>
    <w:p w:rsidR="00EF227F" w:rsidRPr="007F7FE2" w:rsidRDefault="00EF227F" w:rsidP="00EF227F">
      <w:pPr>
        <w:framePr w:hSpace="180" w:wrap="around" w:vAnchor="text" w:hAnchor="page" w:x="5937" w:y="82"/>
        <w:ind w:left="-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27F" w:rsidRPr="007F7FE2" w:rsidRDefault="00EF227F" w:rsidP="00EF227F">
      <w:pPr>
        <w:keepNext/>
        <w:spacing w:after="0" w:line="240" w:lineRule="auto"/>
        <w:ind w:left="-426" w:right="180" w:firstLine="720"/>
        <w:jc w:val="center"/>
        <w:outlineLvl w:val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</w:pPr>
    </w:p>
    <w:p w:rsidR="00EF227F" w:rsidRPr="007F7FE2" w:rsidRDefault="00EF227F" w:rsidP="00EF227F">
      <w:pPr>
        <w:keepNext/>
        <w:spacing w:after="0" w:line="240" w:lineRule="auto"/>
        <w:ind w:left="-426" w:right="180" w:hanging="22"/>
        <w:jc w:val="right"/>
        <w:outlineLvl w:val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</w:pPr>
      <w:r w:rsidRPr="007F7FE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0FED19F" wp14:editId="1ABC8CF7">
            <wp:extent cx="660400" cy="933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27F" w:rsidRPr="007F7FE2" w:rsidRDefault="00EF227F" w:rsidP="00EF227F">
      <w:pPr>
        <w:ind w:left="-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27F" w:rsidRPr="007F7FE2" w:rsidRDefault="00EF227F" w:rsidP="00EF227F">
      <w:pPr>
        <w:ind w:left="-426"/>
        <w:rPr>
          <w:rFonts w:ascii="Times New Roman" w:hAnsi="Times New Roman" w:cs="Times New Roman"/>
          <w:sz w:val="24"/>
          <w:szCs w:val="24"/>
        </w:rPr>
      </w:pPr>
      <w:r w:rsidRPr="007F7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O R D I N</w:t>
      </w:r>
    </w:p>
    <w:p w:rsidR="00EF227F" w:rsidRPr="007F7FE2" w:rsidRDefault="00EF227F" w:rsidP="00EF227F">
      <w:pPr>
        <w:ind w:left="-426"/>
        <w:rPr>
          <w:rFonts w:ascii="Times New Roman" w:hAnsi="Times New Roman" w:cs="Times New Roman"/>
          <w:sz w:val="24"/>
          <w:szCs w:val="24"/>
        </w:rPr>
      </w:pPr>
      <w:r w:rsidRPr="007F7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7F7F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F7FE2">
        <w:rPr>
          <w:rFonts w:ascii="Times New Roman" w:hAnsi="Times New Roman" w:cs="Times New Roman"/>
          <w:sz w:val="24"/>
          <w:szCs w:val="24"/>
        </w:rPr>
        <w:t>…………../………….2020</w:t>
      </w:r>
    </w:p>
    <w:p w:rsidR="00EF227F" w:rsidRPr="007F7FE2" w:rsidRDefault="00EF227F" w:rsidP="00EF227F">
      <w:pPr>
        <w:tabs>
          <w:tab w:val="left" w:pos="426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proofErr w:type="gram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6" w:history="1">
        <w:proofErr w:type="spellStart"/>
        <w:r w:rsidRPr="007F7FE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Metodologiei</w:t>
        </w:r>
        <w:proofErr w:type="spellEnd"/>
        <w:r w:rsidRPr="007F7FE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  <w:proofErr w:type="spellStart"/>
      </w:hyperlink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depășirii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posibilității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posibilității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anuale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vederea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recoltării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produselor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accidentale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aprobată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ministrului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apelor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pădurilor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 766/2018</w:t>
      </w:r>
    </w:p>
    <w:p w:rsidR="00EF227F" w:rsidRPr="007F7FE2" w:rsidRDefault="00EF227F" w:rsidP="00EF227F">
      <w:pPr>
        <w:tabs>
          <w:tab w:val="left" w:pos="426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F227F" w:rsidRPr="007F7FE2" w:rsidRDefault="00EF227F" w:rsidP="00EF227F">
      <w:pPr>
        <w:tabs>
          <w:tab w:val="left" w:pos="426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F227F" w:rsidRPr="007F7FE2" w:rsidRDefault="00EF227F" w:rsidP="00EF227F">
      <w:pPr>
        <w:ind w:left="-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Având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vedere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Referatul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……………….2020 al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Direcţiei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politici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strategii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>silvicultură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EF227F" w:rsidRPr="007F7FE2" w:rsidRDefault="00EF227F" w:rsidP="00EF227F">
      <w:pPr>
        <w:spacing w:after="0"/>
        <w:ind w:left="-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>în conformitate cu prevederile Ordonanței de urgență a Guvernului nr. 68/2019 privind stabilirea unor măsuri la nivelul administrației publice centrale și pentru modificarea și completarea unor acte normative,</w:t>
      </w:r>
    </w:p>
    <w:p w:rsidR="00EF227F" w:rsidRPr="007F7FE2" w:rsidRDefault="00EF227F" w:rsidP="00EF227F">
      <w:pPr>
        <w:spacing w:after="0"/>
        <w:ind w:left="-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proofErr w:type="gram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temeiul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prevederilor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20 </w:t>
        </w:r>
        <w:proofErr w:type="spellStart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 (2),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(4)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(6), </w:t>
      </w:r>
      <w:hyperlink r:id="rId9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art. 22,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24,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59 </w:t>
        </w:r>
        <w:proofErr w:type="spellStart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 (6),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(6</w:t>
        </w:r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vertAlign w:val="superscript"/>
          </w:rPr>
          <w:t>1</w:t>
        </w:r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),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(6</w:t>
        </w:r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vertAlign w:val="superscript"/>
          </w:rPr>
          <w:t>2</w:t>
        </w:r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) </w:t>
        </w:r>
        <w:proofErr w:type="spellStart"/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(10)</w:t>
        </w:r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history="1"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115 din </w:t>
        </w:r>
        <w:proofErr w:type="spellStart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Legea</w:t>
        </w:r>
        <w:proofErr w:type="spellEnd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nr</w:t>
        </w:r>
        <w:proofErr w:type="spellEnd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. 46/2008 - </w:t>
        </w:r>
        <w:proofErr w:type="spellStart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Codul</w:t>
        </w:r>
        <w:proofErr w:type="spellEnd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silvic, </w:t>
        </w:r>
        <w:proofErr w:type="spellStart"/>
        <w:r w:rsidRPr="007F7FE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republicată</w:t>
        </w:r>
        <w:proofErr w:type="spellEnd"/>
      </w:hyperlink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cu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modificările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completările</w:t>
      </w:r>
      <w:proofErr w:type="spellEnd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ulterioare</w:t>
      </w:r>
      <w:proofErr w:type="spellEnd"/>
      <w:r w:rsidRPr="007F7F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>ale art. 13 alin. (</w:t>
      </w:r>
      <w:r w:rsidR="007609F1"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) din Hotărârea Guvernului nr. </w:t>
      </w:r>
      <w:r w:rsidR="00581A93">
        <w:rPr>
          <w:rFonts w:ascii="Times New Roman" w:hAnsi="Times New Roman" w:cs="Times New Roman"/>
          <w:bCs/>
          <w:sz w:val="24"/>
          <w:szCs w:val="24"/>
          <w:lang w:val="ro-RO"/>
        </w:rPr>
        <w:t>43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>/20</w:t>
      </w:r>
      <w:r w:rsidR="00581A93">
        <w:rPr>
          <w:rFonts w:ascii="Times New Roman" w:hAnsi="Times New Roman" w:cs="Times New Roman"/>
          <w:bCs/>
          <w:sz w:val="24"/>
          <w:szCs w:val="24"/>
          <w:lang w:val="ro-RO"/>
        </w:rPr>
        <w:t>20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privind organizarea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>funcţionarea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Ministerului </w:t>
      </w:r>
      <w:r w:rsidR="00581A9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Mediului, </w:t>
      </w:r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Apelor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Pădurilor,</w:t>
      </w:r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art. 57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(1) </w:t>
      </w:r>
      <w:proofErr w:type="gram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proofErr w:type="gram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Ordonanța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urgență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57/2019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7F7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8054DD" w:rsidRPr="007F7FE2" w:rsidRDefault="008054DD" w:rsidP="00EF227F">
      <w:pPr>
        <w:spacing w:after="0"/>
        <w:ind w:left="-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4DD" w:rsidRPr="007F7FE2" w:rsidRDefault="008054DD" w:rsidP="008054DD">
      <w:pPr>
        <w:ind w:left="-426" w:firstLine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7F7FE2">
        <w:rPr>
          <w:rFonts w:ascii="Times New Roman" w:hAnsi="Times New Roman" w:cs="Times New Roman"/>
          <w:b/>
          <w:sz w:val="24"/>
          <w:szCs w:val="24"/>
        </w:rPr>
        <w:t>ministrul</w:t>
      </w:r>
      <w:proofErr w:type="spellEnd"/>
      <w:proofErr w:type="gramEnd"/>
      <w:r w:rsidRPr="007F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7F7F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F7FE2">
        <w:rPr>
          <w:rFonts w:ascii="Times New Roman" w:hAnsi="Times New Roman" w:cs="Times New Roman"/>
          <w:b/>
          <w:sz w:val="24"/>
          <w:szCs w:val="24"/>
        </w:rPr>
        <w:t>apelor</w:t>
      </w:r>
      <w:proofErr w:type="spellEnd"/>
      <w:r w:rsidRPr="007F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F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FE2">
        <w:rPr>
          <w:rFonts w:ascii="Times New Roman" w:hAnsi="Times New Roman" w:cs="Times New Roman"/>
          <w:b/>
          <w:sz w:val="24"/>
          <w:szCs w:val="24"/>
        </w:rPr>
        <w:t>pădurilor</w:t>
      </w:r>
      <w:proofErr w:type="spellEnd"/>
      <w:r w:rsidRPr="007F7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FE2">
        <w:rPr>
          <w:rFonts w:ascii="Times New Roman" w:hAnsi="Times New Roman" w:cs="Times New Roman"/>
          <w:sz w:val="24"/>
          <w:szCs w:val="24"/>
          <w:lang w:val="pt-BR"/>
        </w:rPr>
        <w:t>emite următorul </w:t>
      </w:r>
    </w:p>
    <w:p w:rsidR="008054DD" w:rsidRPr="007F7FE2" w:rsidRDefault="008054DD" w:rsidP="008054DD">
      <w:pPr>
        <w:ind w:left="-426"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:rsidR="008054DD" w:rsidRDefault="008054DD" w:rsidP="008054DD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F7FE2">
        <w:rPr>
          <w:rFonts w:ascii="Times New Roman" w:hAnsi="Times New Roman" w:cs="Times New Roman"/>
          <w:b/>
          <w:sz w:val="24"/>
          <w:szCs w:val="24"/>
          <w:lang w:val="pt-BR"/>
        </w:rPr>
        <w:t>O R D I N:</w:t>
      </w:r>
    </w:p>
    <w:p w:rsidR="00B33D78" w:rsidRPr="007F7FE2" w:rsidRDefault="00B33D78" w:rsidP="008054DD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54DD" w:rsidRPr="007F7FE2" w:rsidRDefault="008054DD" w:rsidP="008054DD">
      <w:pPr>
        <w:tabs>
          <w:tab w:val="left" w:pos="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>Art. I.</w:t>
      </w:r>
      <w:r w:rsidRPr="007F7F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6" w:history="1">
        <w:proofErr w:type="spellStart"/>
        <w:r w:rsidRPr="007F7FE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Metodologia</w:t>
        </w:r>
        <w:proofErr w:type="spellEnd"/>
        <w:r w:rsidRPr="007F7FE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  <w:proofErr w:type="spellStart"/>
      </w:hyperlink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depășirii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posibilității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posibilității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anuale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vederea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recoltării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produselor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accidentale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aprobată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ministrului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apelor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pădurilor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7F7FE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766/2018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aprobarea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7F7FE2">
        <w:rPr>
          <w:rFonts w:ascii="Times New Roman" w:hAnsi="Times New Roman" w:cs="Times New Roman"/>
          <w:sz w:val="24"/>
          <w:szCs w:val="24"/>
        </w:rPr>
        <w:fldChar w:fldCharType="begin"/>
      </w:r>
      <w:r w:rsidRPr="007F7FE2">
        <w:rPr>
          <w:rFonts w:ascii="Times New Roman" w:hAnsi="Times New Roman" w:cs="Times New Roman"/>
          <w:sz w:val="24"/>
          <w:szCs w:val="24"/>
        </w:rPr>
        <w:instrText xml:space="preserve"> HYPERLINK "http://legislatie.just.ro/Public/DetaliiDocumentAfis/204226" </w:instrText>
      </w:r>
      <w:r w:rsidRPr="007F7FE2">
        <w:rPr>
          <w:rFonts w:ascii="Times New Roman" w:hAnsi="Times New Roman" w:cs="Times New Roman"/>
          <w:sz w:val="24"/>
          <w:szCs w:val="24"/>
        </w:rPr>
        <w:fldChar w:fldCharType="separate"/>
      </w:r>
      <w:r w:rsidRPr="007F7F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Normelor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tehnice</w:t>
      </w:r>
      <w:proofErr w:type="spellEnd"/>
      <w:r w:rsidRPr="007F7FE2">
        <w:rPr>
          <w:rFonts w:ascii="Times New Roman" w:hAnsi="Times New Roman" w:cs="Times New Roman"/>
          <w:sz w:val="24"/>
          <w:szCs w:val="24"/>
        </w:rPr>
        <w:fldChar w:fldCharType="end"/>
      </w:r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elaborarea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amenajamentelor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silvice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modificarea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prevederilor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acestora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schimbarea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categoriei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folosință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terenurilor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din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fondul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forestier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 </w:t>
      </w:r>
      <w:proofErr w:type="spellStart"/>
      <w:r w:rsidRPr="007F7FE2">
        <w:rPr>
          <w:rFonts w:ascii="Times New Roman" w:hAnsi="Times New Roman" w:cs="Times New Roman"/>
          <w:sz w:val="24"/>
          <w:szCs w:val="24"/>
        </w:rPr>
        <w:fldChar w:fldCharType="begin"/>
      </w:r>
      <w:r w:rsidRPr="007F7FE2">
        <w:rPr>
          <w:rFonts w:ascii="Times New Roman" w:hAnsi="Times New Roman" w:cs="Times New Roman"/>
          <w:sz w:val="24"/>
          <w:szCs w:val="24"/>
        </w:rPr>
        <w:instrText xml:space="preserve"> HYPERLINK "http://legislatie.just.ro/Public/DetaliiDocumentAfis/204227" </w:instrText>
      </w:r>
      <w:r w:rsidRPr="007F7FE2">
        <w:rPr>
          <w:rFonts w:ascii="Times New Roman" w:hAnsi="Times New Roman" w:cs="Times New Roman"/>
          <w:sz w:val="24"/>
          <w:szCs w:val="24"/>
        </w:rPr>
        <w:fldChar w:fldCharType="separate"/>
      </w:r>
      <w:r w:rsidRPr="007F7F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Metodologiei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7F7FE2">
        <w:rPr>
          <w:rFonts w:ascii="Times New Roman" w:hAnsi="Times New Roman" w:cs="Times New Roman"/>
          <w:sz w:val="24"/>
          <w:szCs w:val="24"/>
        </w:rPr>
        <w:fldChar w:fldCharType="end"/>
      </w:r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aprobarea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depășirii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posibilității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posibilității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anuale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vederea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recoltării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produselor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accidentale</w:t>
      </w:r>
      <w:proofErr w:type="spellEnd"/>
      <w:r w:rsidRPr="007F7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I,</w:t>
      </w:r>
      <w:r w:rsidRPr="007F7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sz w:val="24"/>
          <w:szCs w:val="24"/>
        </w:rPr>
        <w:t>publicat</w:t>
      </w:r>
      <w:proofErr w:type="spellEnd"/>
      <w:r w:rsidRPr="007F7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F7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7F7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7F7FE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F7FE2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7F7F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7FE2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7F7FE2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Pr="007F7FE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7F7FE2">
        <w:rPr>
          <w:rFonts w:ascii="Times New Roman" w:eastAsia="Times New Roman" w:hAnsi="Times New Roman" w:cs="Times New Roman"/>
          <w:sz w:val="24"/>
          <w:szCs w:val="24"/>
        </w:rPr>
        <w:t xml:space="preserve">. 730 din 23 august 2018, se </w:t>
      </w:r>
      <w:proofErr w:type="spellStart"/>
      <w:r w:rsidRPr="007F7FE2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7F7F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7FE2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7F7FE2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7F7FE2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7F7F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7FE2" w:rsidRPr="007F7FE2" w:rsidRDefault="007F7FE2" w:rsidP="008054DD">
      <w:pPr>
        <w:tabs>
          <w:tab w:val="left" w:pos="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FE2" w:rsidRPr="007F7FE2" w:rsidRDefault="007F7FE2" w:rsidP="006F7432">
      <w:pPr>
        <w:tabs>
          <w:tab w:val="left" w:pos="0"/>
        </w:tabs>
        <w:spacing w:after="0" w:line="276" w:lineRule="auto"/>
        <w:ind w:left="-426"/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743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74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F7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>După</w:t>
      </w:r>
      <w:proofErr w:type="spellEnd"/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r w:rsidR="00992CD1">
        <w:rPr>
          <w:rFonts w:ascii="Times New Roman" w:eastAsia="Times New Roman" w:hAnsi="Times New Roman" w:cs="Times New Roman"/>
          <w:b/>
          <w:sz w:val="24"/>
          <w:szCs w:val="24"/>
        </w:rPr>
        <w:t>icolul</w:t>
      </w:r>
      <w:proofErr w:type="spellEnd"/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 xml:space="preserve"> 3 </w:t>
      </w:r>
      <w:r w:rsidRPr="007F7FE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introduce </w:t>
      </w:r>
      <w:proofErr w:type="gramStart"/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proofErr w:type="gramEnd"/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>nou</w:t>
      </w:r>
      <w:proofErr w:type="spellEnd"/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992CD1">
        <w:rPr>
          <w:rFonts w:ascii="Times New Roman" w:eastAsia="Times New Roman" w:hAnsi="Times New Roman" w:cs="Times New Roman"/>
          <w:b/>
          <w:sz w:val="24"/>
          <w:szCs w:val="24"/>
        </w:rPr>
        <w:t>rtocol</w:t>
      </w:r>
      <w:proofErr w:type="spellEnd"/>
      <w:r w:rsidR="00992CD1">
        <w:rPr>
          <w:rFonts w:ascii="Times New Roman" w:eastAsia="Times New Roman" w:hAnsi="Times New Roman" w:cs="Times New Roman"/>
          <w:b/>
          <w:sz w:val="24"/>
          <w:szCs w:val="24"/>
        </w:rPr>
        <w:t>, art. 3</w:t>
      </w:r>
      <w:r w:rsidR="00992CD1" w:rsidRPr="00992CD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>cuprins</w:t>
      </w:r>
      <w:proofErr w:type="spellEnd"/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F7F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="00A71153" w:rsidRPr="00A71153">
        <w:rPr>
          <w:rStyle w:val="salnbdy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Art. 3</w:t>
      </w:r>
      <w:r w:rsidR="00A71153" w:rsidRPr="00A71153">
        <w:rPr>
          <w:rStyle w:val="salnbdy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="00A71153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A71153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="00A7115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7F7F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Proprietarul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Succesorul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drepturi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persoană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are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calitatea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a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beneficia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uzufruct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demonstrează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"http://legislatie.just.ro/Public/DetaliiDocumentAfis/187262" </w:instrText>
      </w:r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287/2009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Codul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civil,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republicată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care are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încheiat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contract de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servicii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silvice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perioadă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minimum 10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ani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îl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deține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suprafața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maximum 10 ha,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obligă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întocmirea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amenajamentului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silvic,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poate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recolta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maximum 5 mc/an/ha de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această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suprafață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caracteristicile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structurale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arboretului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volumul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poate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recolta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hectar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indiferent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numărul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beneficiare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calitatea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7F7F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maximum 5 mc/an.</w:t>
      </w:r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F7FE2" w:rsidRDefault="007F7FE2" w:rsidP="007F7FE2">
      <w:pPr>
        <w:spacing w:after="0" w:line="276" w:lineRule="auto"/>
        <w:ind w:left="-426"/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A71153" w:rsidRDefault="007F7FE2" w:rsidP="007F7FE2">
      <w:pPr>
        <w:spacing w:after="0" w:line="276" w:lineRule="auto"/>
        <w:ind w:left="-426"/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</w:t>
      </w:r>
      <w:r w:rsidR="00A71153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A71153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excepție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(1)</w:t>
      </w:r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volumul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maximum 5 mc/an/ha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poate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depășit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volumul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arborilor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arboretelor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afectați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afectate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factori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biotici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abiotici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destabilizatori</w:t>
      </w:r>
      <w:proofErr w:type="spellEnd"/>
      <w:r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1585E" w:rsidRDefault="00A71153" w:rsidP="007F7FE2">
      <w:pPr>
        <w:spacing w:after="0" w:line="276" w:lineRule="auto"/>
        <w:ind w:left="-426"/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B1585E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F7FE2" w:rsidRPr="007F7FE2">
        <w:rPr>
          <w:rStyle w:val="sa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Ocolul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silvic care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asigură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administrarea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serviciile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silvice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îndeplinește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proofErr w:type="spellStart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(1)</w:t>
      </w:r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află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arboretele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afectate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factori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biotici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abiotici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destabilizatori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proofErr w:type="spellStart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(</w:t>
      </w:r>
      <w:r w:rsidR="00B1585E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realizează</w:t>
      </w:r>
      <w:proofErr w:type="spellEnd"/>
      <w:proofErr w:type="gram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punerea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valoare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masei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lemnoase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afectate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transmite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notificare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structura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teritorială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specialitate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autorității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centrale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răspunde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silvicultură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însoțită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actul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punere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valoare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întocmit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fotografii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relevante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privitoare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afectare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D585F" w:rsidRDefault="00B1585E" w:rsidP="007F7FE2">
      <w:pPr>
        <w:spacing w:after="0" w:line="276" w:lineRule="auto"/>
        <w:ind w:left="-426"/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F7FE2" w:rsidRPr="007F7FE2">
        <w:rPr>
          <w:rStyle w:val="sa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Structura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teritorială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specialitate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autorității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centrale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răspunde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silvicultură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sondaj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actele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punere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valoare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proofErr w:type="spellStart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(</w:t>
      </w:r>
      <w:r w:rsidR="001D585F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Rezultatul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verificărilor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comunică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ocolului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silvic care </w:t>
      </w:r>
      <w:proofErr w:type="gram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făcut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notificarea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mult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10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lucrătoare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înregistrarea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notificării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C1300" w:rsidRDefault="001D585F" w:rsidP="007F7FE2">
      <w:pPr>
        <w:spacing w:after="0" w:line="276" w:lineRule="auto"/>
        <w:ind w:left="-426"/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F7FE2" w:rsidRPr="007F7FE2">
        <w:rPr>
          <w:rStyle w:val="sa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actelor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punere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valoare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proofErr w:type="spellStart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(2)</w:t>
      </w:r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emiterea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autorizațiilor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exploatare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fac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șeful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ocolului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silvic,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înainte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termenul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10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lucrătoare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transmiterea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notificării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proofErr w:type="spellStart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(</w:t>
      </w:r>
      <w:r w:rsidR="00CC1300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D585F" w:rsidRDefault="00CC1300" w:rsidP="007F7FE2">
      <w:pPr>
        <w:spacing w:after="0" w:line="276" w:lineRule="auto"/>
        <w:ind w:left="-426"/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F7FE2" w:rsidRPr="007F7FE2">
        <w:rPr>
          <w:rStyle w:val="sa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Volumul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arborilor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afectați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factori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destabilizatori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biotici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abiotici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aprobat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extragere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care se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depășește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volumul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5 mc/an/ha, se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scade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volumul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recoltat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următorii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C1300" w:rsidRDefault="001D585F" w:rsidP="007F7FE2">
      <w:pPr>
        <w:spacing w:after="0" w:line="276" w:lineRule="auto"/>
        <w:ind w:left="-426"/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CC1300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F7FE2" w:rsidRPr="007F7FE2">
        <w:rPr>
          <w:rStyle w:val="sa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Produsele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lemnoase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rezultate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acțiunii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factorilor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biotici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abiotici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destabilizatori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proofErr w:type="spellStart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(</w:t>
      </w:r>
      <w:r w:rsidR="006F743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proofErr w:type="gram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produse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accidentale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C1300" w:rsidRDefault="00CC1300" w:rsidP="007F7FE2">
      <w:pPr>
        <w:spacing w:after="0" w:line="276" w:lineRule="auto"/>
        <w:ind w:left="-426"/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F7FE2" w:rsidRPr="007F7FE2">
        <w:rPr>
          <w:rStyle w:val="sa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În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cazul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intensitatea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acțiunii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factorilor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biotici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abiotici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destabilizatori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determinat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 o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suprafață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fond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despădurită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aceasta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reîmpăduri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maximum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două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sezoane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vegetație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cheltuiala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proprietarului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Compoziția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împădurire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proofErr w:type="gram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face cu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specii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corespunzătoare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tipului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natural fundamental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pădure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conform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existente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amenajamentele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silvice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precedente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F7432" w:rsidRDefault="00CC1300" w:rsidP="007F7FE2">
      <w:pPr>
        <w:spacing w:after="0" w:line="276" w:lineRule="auto"/>
        <w:ind w:left="-426"/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7F7FE2" w:rsidRPr="007F7FE2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F7FE2" w:rsidRPr="007F7FE2">
        <w:rPr>
          <w:rStyle w:val="sa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Punerea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valoare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masei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lemnoase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afectate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factori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biotici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abiotici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destabilizatori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proofErr w:type="spellStart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(</w:t>
      </w:r>
      <w:r w:rsidR="006F743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7F7FE2" w:rsidRPr="007F7FE2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suprafețele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cuprinse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arii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naturale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protejate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se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realizează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respectarea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gram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următoarelor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</w:t>
      </w:r>
      <w:proofErr w:type="spellEnd"/>
      <w:r w:rsidR="007F7FE2" w:rsidRPr="007F7FE2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F7432" w:rsidRDefault="006F7432" w:rsidP="007F7FE2">
      <w:pPr>
        <w:spacing w:after="0" w:line="276" w:lineRule="auto"/>
        <w:ind w:left="-426"/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7F7FE2" w:rsidRPr="006F7432">
        <w:rPr>
          <w:rStyle w:val="slitttl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a)</w:t>
      </w:r>
      <w:r w:rsidR="007F7FE2" w:rsidRPr="007F7FE2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proofErr w:type="gram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planurilor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management ale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ariilor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naturale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protejate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aprobate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7F7FE2" w:rsidRPr="007F7FE2" w:rsidRDefault="006F7432" w:rsidP="007F7FE2">
      <w:pPr>
        <w:spacing w:after="0" w:line="276" w:lineRule="auto"/>
        <w:ind w:left="-426"/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7F7FE2" w:rsidRPr="006F7432">
        <w:rPr>
          <w:rStyle w:val="slitttl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b)</w:t>
      </w:r>
      <w:r w:rsidR="007F7FE2" w:rsidRPr="007F7FE2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notificarea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administratorului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ocolul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silvic care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asigură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administrarea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serviciile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silvice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puțin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10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înainte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punerea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valoare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obținerea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avizului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situația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aria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naturală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protejată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are administrator,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planul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management nu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aprobat</w:t>
      </w:r>
      <w:proofErr w:type="spellEnd"/>
      <w:r w:rsidR="007F7FE2" w:rsidRPr="007F7FE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054DD" w:rsidRPr="007F7FE2" w:rsidRDefault="008054DD" w:rsidP="006F7432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B90" w:rsidRPr="006F7432" w:rsidRDefault="005B615D" w:rsidP="00A374BB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-426" w:firstLine="568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După</w:t>
      </w:r>
      <w:proofErr w:type="spellEnd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art. 8 </w:t>
      </w:r>
      <w:r w:rsidR="005C204B" w:rsidRPr="006F743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EF0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introduce </w:t>
      </w:r>
      <w:proofErr w:type="spellStart"/>
      <w:r w:rsidR="00EF0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două</w:t>
      </w:r>
      <w:proofErr w:type="spellEnd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 w:rsidR="00EF0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articol</w:t>
      </w:r>
      <w:r w:rsidR="00EF0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proofErr w:type="spellEnd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articolul</w:t>
      </w:r>
      <w:proofErr w:type="spellEnd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C204B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5C204B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</w:t>
      </w:r>
      <w:proofErr w:type="gramEnd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următorul</w:t>
      </w:r>
      <w:proofErr w:type="spellEnd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cuprins</w:t>
      </w:r>
      <w:proofErr w:type="spellEnd"/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8054DD"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F743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="00EC592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6F743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Art.  </w:t>
      </w:r>
      <w:r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6F743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Pr="006F743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C46CC" w:rsidRPr="006F743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6F743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C46CC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(1)</w:t>
      </w:r>
      <w:r w:rsidR="00CC46CC" w:rsidRPr="006F743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ecoltarea</w:t>
      </w:r>
      <w:proofErr w:type="spellEnd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produselor</w:t>
      </w:r>
      <w:proofErr w:type="spellEnd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secundare</w:t>
      </w:r>
      <w:proofErr w:type="spellEnd"/>
      <w:r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se face </w:t>
      </w:r>
      <w:proofErr w:type="spellStart"/>
      <w:r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art. 59 </w:t>
      </w:r>
      <w:proofErr w:type="spellStart"/>
      <w:r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(4) </w:t>
      </w:r>
      <w:proofErr w:type="spellStart"/>
      <w:r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(5) din</w:t>
      </w:r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46/2008-Codul silvic,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republicată</w:t>
      </w:r>
      <w:proofErr w:type="spellEnd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care</w:t>
      </w:r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stabilește</w:t>
      </w:r>
      <w:proofErr w:type="spellEnd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suprafața</w:t>
      </w:r>
      <w:proofErr w:type="spellEnd"/>
      <w:r w:rsidR="00567B90" w:rsidRPr="006F743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arboretelor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prevăzută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amenajamentul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silvic a fi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parcursă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lucrări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îngrijire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conducere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minimală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iar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volumul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amenajamentul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silvic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extragere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orientativ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recoltează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respectarea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normelor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tehnice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specifice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starea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arboretelor</w:t>
      </w:r>
      <w:proofErr w:type="spellEnd"/>
      <w:r w:rsidR="00567B90" w:rsidRPr="006F743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67B90" w:rsidRPr="007F7FE2" w:rsidRDefault="00CC46CC" w:rsidP="00803302">
      <w:pPr>
        <w:spacing w:after="0" w:line="276" w:lineRule="auto"/>
        <w:ind w:left="-426" w:firstLine="568"/>
        <w:jc w:val="both"/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(2) </w:t>
      </w:r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Pot fi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parcurse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rărituri</w:t>
      </w:r>
      <w:proofErr w:type="spellEnd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arborete</w:t>
      </w:r>
      <w:r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nu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incluse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planul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decenal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recoltare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produselor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secundare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îndeplinesc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a fi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parcurse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astfel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lucrări</w:t>
      </w:r>
      <w:proofErr w:type="spellEnd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iar</w:t>
      </w:r>
      <w:proofErr w:type="spellEnd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vârsta</w:t>
      </w:r>
      <w:proofErr w:type="spellEnd"/>
      <w:r w:rsidR="00CE0FE7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actualizată</w:t>
      </w:r>
      <w:proofErr w:type="spellEnd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aplicare</w:t>
      </w:r>
      <w:proofErr w:type="spellEnd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amenajamentului</w:t>
      </w:r>
      <w:proofErr w:type="spellEnd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silvic, nu </w:t>
      </w:r>
      <w:proofErr w:type="spellStart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depășește</w:t>
      </w:r>
      <w:proofErr w:type="spellEnd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¾ din </w:t>
      </w:r>
      <w:proofErr w:type="spellStart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vârsta</w:t>
      </w:r>
      <w:proofErr w:type="spellEnd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exploatabilității</w:t>
      </w:r>
      <w:proofErr w:type="spellEnd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stabilită</w:t>
      </w:r>
      <w:proofErr w:type="spellEnd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amenajamentul</w:t>
      </w:r>
      <w:proofErr w:type="spellEnd"/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silvic</w:t>
      </w:r>
      <w:r w:rsidR="00CE0FE7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A6EA1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Intervenți</w:t>
      </w:r>
      <w:r w:rsidR="003D112B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silviculturale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aceste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arborete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realizează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numai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dacă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arboretele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respective au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indicele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consistență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exprimat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indicele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densitate</w:t>
      </w:r>
      <w:proofErr w:type="spellEnd"/>
      <w:r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mare </w:t>
      </w:r>
      <w:proofErr w:type="spellStart"/>
      <w:r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egal</w:t>
      </w:r>
      <w:proofErr w:type="spellEnd"/>
      <w:r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0.9,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determinat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4085C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proofErr w:type="spellStart"/>
      <w:r w:rsidR="0044085C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ocolul</w:t>
      </w:r>
      <w:proofErr w:type="spellEnd"/>
      <w:r w:rsidR="0044085C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silvic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intermediul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suprafețelor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bază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volumelor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67B90" w:rsidRPr="007F7FE2" w:rsidRDefault="00CC46CC" w:rsidP="005B615D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7F7FE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Art.  </w:t>
      </w:r>
      <w:r w:rsidRPr="007F7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7F7FE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7F7FE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(1)</w:t>
      </w:r>
      <w:r w:rsidRPr="007F7FE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ecoltarea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produselor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principale</w:t>
      </w:r>
      <w:proofErr w:type="spellEnd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se face cu </w:t>
      </w:r>
      <w:proofErr w:type="spellStart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încadrarea</w:t>
      </w:r>
      <w:proofErr w:type="spellEnd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E0FE7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CE0FE7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posibilitatea</w:t>
      </w:r>
      <w:proofErr w:type="spellEnd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anuală</w:t>
      </w:r>
      <w:proofErr w:type="spellEnd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F7FE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posibilitate</w:t>
      </w:r>
      <w:proofErr w:type="spellEnd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așa</w:t>
      </w:r>
      <w:proofErr w:type="spellEnd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cum </w:t>
      </w:r>
      <w:proofErr w:type="spellStart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definite la pct. 3</w:t>
      </w:r>
      <w:r w:rsidR="00E87F0A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3</w:t>
      </w:r>
      <w:r w:rsidR="00E87F0A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la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46/2008-Codul silvic,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republicată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="00E87F0A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E87F0A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Modali</w:t>
      </w:r>
      <w:r w:rsidR="007C72E5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tatea</w:t>
      </w:r>
      <w:proofErr w:type="spellEnd"/>
      <w:r w:rsidR="007C72E5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recoltare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volumului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aferent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posibilității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posibilității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anuale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C72E5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se face </w:t>
      </w:r>
      <w:proofErr w:type="spellStart"/>
      <w:r w:rsidR="007C72E5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C72E5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72E5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condițiil</w:t>
      </w:r>
      <w:r w:rsidR="00A200DE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</w:t>
      </w:r>
      <w:proofErr w:type="spellEnd"/>
      <w:r w:rsidR="007C72E5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art. 59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(1) – (3), (10)-(11)</w:t>
      </w:r>
      <w:r w:rsidR="00567B90" w:rsidRPr="007F7FE2">
        <w:rPr>
          <w:rFonts w:ascii="Times New Roman" w:eastAsia="MS Mincho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67B90" w:rsidRPr="007F7FE2" w:rsidRDefault="007C72E5" w:rsidP="005B615D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(2) 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Referitor la recoltarea produselor principale, 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se 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disting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următoarele situații:</w:t>
      </w:r>
    </w:p>
    <w:p w:rsidR="00567B90" w:rsidRPr="007F7FE2" w:rsidRDefault="00111BB4" w:rsidP="005B615D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lastRenderedPageBreak/>
        <w:t>a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) 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În u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nități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le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de gospodărire de tip G- codru gradinărit,  posibilitatea este cumulul volumelor de extras pentru fiecare arboret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din planul decenal de recoltare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, iar posibilitatea anuală este volumul de recoltat aferent unui cupon. În cadrul acestei subunități de gospodărire este obligatorie recoltarea volumului la nivel de arboret, prevăzut de amenajamentul silvic. </w:t>
      </w:r>
    </w:p>
    <w:p w:rsidR="00111BB4" w:rsidRPr="007F7FE2" w:rsidRDefault="00111BB4" w:rsidP="005B615D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b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)  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În u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nități de gospodărire de tip J - codru cvasigradinărit, A- codru regulat, sortimente obișnuite, B- codru regulat, sortimente superioare, </w:t>
      </w:r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D -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codru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regulat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sortimente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obișnuite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țeluri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protecție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V -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păduri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interes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cinegetic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în care reglementarea procesului de producție se face la nivel de fond de producție, posibilitatea este cea calculată prin metodele prevăzute de normele tehnice pentru amenajarea pădurilor și adoptată</w:t>
      </w:r>
      <w:r w:rsidR="00567B90" w:rsidRPr="007F7FE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, 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iar posibilitatea anuală cea stabilită potrivit pct. 32 din anexa la Legea nr. 46/2008- Codul silvic</w:t>
      </w:r>
      <w:r w:rsidR="00E44631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, republicată, cu modificările și completările ulterioare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. </w:t>
      </w:r>
    </w:p>
    <w:p w:rsidR="00075F24" w:rsidRPr="007F7FE2" w:rsidRDefault="00111BB4" w:rsidP="005B615D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c) 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În unități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le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de gospodărire 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prevăzute la lit. b) 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este obligatoriu ca volumul de recoltat </w:t>
      </w:r>
      <w:r w:rsidR="003E306B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î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ntr-un an de producție să se încadreze în posibilitatea anuală</w:t>
      </w:r>
      <w:r w:rsidR="00CA54DB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. Depășirea posibilității anuale se realizează în condițiile art. 3 alin. (1). La nivel de arboret este obligatorie 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respect</w:t>
      </w:r>
      <w:r w:rsidR="00CA54DB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area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tratamentul</w:t>
      </w:r>
      <w:r w:rsidR="00CA54DB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ui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și </w:t>
      </w:r>
      <w:r w:rsidR="00D23ECF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felul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tăierii prevăzut</w:t>
      </w:r>
      <w:r w:rsidR="00CA54DB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e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de amenajamentul silvic</w:t>
      </w:r>
      <w:r w:rsidR="00075F24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.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Volumul recoltat </w:t>
      </w:r>
      <w:r w:rsidR="00A200DE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din 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arboret</w:t>
      </w:r>
      <w:r w:rsidR="00A200DE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ele </w:t>
      </w:r>
      <w:r w:rsidR="008968BD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i</w:t>
      </w:r>
      <w:r w:rsidR="00A200DE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ncluse în planurile decenale de recoltare a produselor principale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poate să difere față de cel înscris în amenajamentul silvic, cu condiția ca acest volum să rezulte prin aplicarea corespunzătoare a tratamentului și a 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felului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tăierii prevăzute de amenajamentul silvic, potrivit normelor tehnice specifice.  </w:t>
      </w:r>
      <w:r w:rsidR="00075F24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Depășirea posibilității se realizează în condițiile art. 3 alin. (2).</w:t>
      </w:r>
    </w:p>
    <w:p w:rsidR="00567B90" w:rsidRPr="007F7FE2" w:rsidRDefault="003E306B" w:rsidP="005B615D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d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)  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În unitățile de gospodărire 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de tip </w:t>
      </w:r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Q -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crâng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simplu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salcâm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X -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zăvoaie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plopi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sălcii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 -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crâng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tăiere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scaun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Z -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culturi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plopi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sălcii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selecționate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celuloză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cherestea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-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culturi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plopi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sălcii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selecționate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furnire</w:t>
      </w:r>
      <w:proofErr w:type="spellEnd"/>
      <w:r w:rsidR="00567B90" w:rsidRPr="007F7F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posibilitatea </w:t>
      </w:r>
      <w:r w:rsidR="0040695A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se stabilește prin nominalizarea, în ordinea urgențelor de regenerare, în limita</w:t>
      </w:r>
      <w:r w:rsidR="00C52552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posibilității stabilite pe suprafață și a arboretelor exploatabile</w:t>
      </w:r>
      <w:r w:rsidR="00567B9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, iar posibilitatea anuală cea stabilită potrivit pct. 32 dina anexa la Legea nr. 46/2008- Codul silvic.  </w:t>
      </w:r>
    </w:p>
    <w:p w:rsidR="004535FB" w:rsidRPr="007F7FE2" w:rsidRDefault="005356C9" w:rsidP="005356C9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e) În unitățile de gospodărire prevăzute la lit. d) este obligatoriu ca volumul de recoltat într-un an de producție să se încadreze în posibilitatea anuală</w:t>
      </w:r>
      <w:r w:rsidR="007235EC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. Depășirea posibilității anuale se realizează în condițiile art. 3 alin. (1). La nivel de arboret este obligatorie respectarea tratamentului și felul tăierii prevăzut 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de amenajamentul silvic</w:t>
      </w:r>
      <w:r w:rsidR="007235EC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. Volumul recoltat din arboretele incluse în planurile decenale de recoltare a produselor principale poate să difere față de cel înscris în amenajamentul silvic, cu condiția ca acest volum să rezulte prin aplicarea corespunzătoare a tratamentului și a felului tăierii prevăzute de amenajamentul silvic, potrivit normelor tehnice specifice.</w:t>
      </w:r>
      <w:r w:rsidR="00075F24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="000C42D5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Depășirea posibilității anuale se realizează în condițiile art. 3 alin. (1).</w:t>
      </w:r>
    </w:p>
    <w:p w:rsidR="007F3A5F" w:rsidRDefault="007235EC" w:rsidP="000470B5">
      <w:pPr>
        <w:spacing w:after="0" w:line="276" w:lineRule="auto"/>
        <w:ind w:left="-426" w:firstLine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="007F3A5F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(3) În unitățile de gospodărire prevăzute la lit. d), în situația în care </w:t>
      </w:r>
      <w:r w:rsidR="00A947A0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volumul recoltat </w:t>
      </w:r>
      <w:r w:rsidR="008936C8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este la nivelul posibilității, dar nu a fost parcursă toată suprafața arboretelor incluse în planul decenal de recoltare a produselor principale, se întocmește un addendum la amenajamentul silvic pentru actualizarea </w:t>
      </w:r>
      <w:r w:rsidR="007F3A5F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posibilit</w:t>
      </w:r>
      <w:r w:rsidR="008936C8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ății</w:t>
      </w:r>
      <w:r w:rsidR="004535FB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="00922F5E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la nivelul</w:t>
      </w:r>
      <w:r w:rsidR="004535FB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întregii  suprafețe care a făcut obiectul planului </w:t>
      </w:r>
      <w:r w:rsidR="007F3A5F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="004535FB"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  <w:t>decenal de recoltare a produselor principale.</w:t>
      </w:r>
    </w:p>
    <w:p w:rsidR="000E3D03" w:rsidRDefault="008D1A8D" w:rsidP="000470B5">
      <w:pPr>
        <w:spacing w:after="0" w:line="276" w:lineRule="auto"/>
        <w:ind w:left="-426" w:firstLine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7F7FE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Art.  </w:t>
      </w:r>
      <w:r w:rsidRPr="007F7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7F7FE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Pr="007F7FE2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(1)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Arborii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extrași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interiorul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proximitatea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obiectivelor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militare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scopul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instalării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menținerii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stare de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operativitate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Sistemelor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Securitate a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Obiectivelor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Militare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încadrează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categoria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produselor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extraordinare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D6629" w:rsidRDefault="00355A8B" w:rsidP="000470B5">
      <w:pPr>
        <w:spacing w:after="0" w:line="276" w:lineRule="auto"/>
        <w:ind w:left="-426" w:firstLine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(2)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Întocmirea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actelor</w:t>
      </w:r>
      <w:proofErr w:type="spellEnd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punere</w:t>
      </w:r>
      <w:proofErr w:type="spellEnd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valoare</w:t>
      </w:r>
      <w:proofErr w:type="spellEnd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autorizarea</w:t>
      </w:r>
      <w:proofErr w:type="spellEnd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spre</w:t>
      </w:r>
      <w:proofErr w:type="spellEnd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exploatare</w:t>
      </w:r>
      <w:proofErr w:type="spellEnd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ocolul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silvic</w:t>
      </w:r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căruia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comandantul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unei</w:t>
      </w:r>
      <w:proofErr w:type="spellEnd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unități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militare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-a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solicitat</w:t>
      </w:r>
      <w:proofErr w:type="spellEnd"/>
      <w:r w:rsidR="00B33D78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33D78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B33D78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3D78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scris</w:t>
      </w:r>
      <w:proofErr w:type="spellEnd"/>
      <w:r w:rsidR="00B33D78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extrageri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arbori</w:t>
      </w:r>
      <w:proofErr w:type="spellEnd"/>
      <w:r w:rsidRPr="00355A8B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scopul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instalării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menținerii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stare de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operativitate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proofErr w:type="spellStart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unui</w:t>
      </w:r>
      <w:proofErr w:type="spellEnd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sistem</w:t>
      </w:r>
      <w:proofErr w:type="spellEnd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care face parte din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Sistem</w:t>
      </w:r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ul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Securitate a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Obiectivelor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Militare</w:t>
      </w:r>
      <w:proofErr w:type="spellEnd"/>
      <w:r w:rsidR="00B65626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se face </w:t>
      </w:r>
      <w:proofErr w:type="spellStart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termen</w:t>
      </w:r>
      <w:proofErr w:type="spellEnd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maxim 15 </w:t>
      </w:r>
      <w:proofErr w:type="spellStart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lucrătoare</w:t>
      </w:r>
      <w:proofErr w:type="spellEnd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la data </w:t>
      </w:r>
      <w:proofErr w:type="spellStart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Extragerea</w:t>
      </w:r>
      <w:proofErr w:type="spellEnd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arborilor</w:t>
      </w:r>
      <w:proofErr w:type="spellEnd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se face </w:t>
      </w:r>
      <w:proofErr w:type="spellStart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7A9C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amplasamentul</w:t>
      </w:r>
      <w:proofErr w:type="spellEnd"/>
      <w:r w:rsidR="006D7A9C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solicitat</w:t>
      </w:r>
      <w:proofErr w:type="spellEnd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comandantul</w:t>
      </w:r>
      <w:proofErr w:type="spellEnd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unității</w:t>
      </w:r>
      <w:proofErr w:type="spellEnd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5947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militare</w:t>
      </w:r>
      <w:proofErr w:type="spellEnd"/>
      <w:r w:rsidR="00B33D78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3D78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B33D78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3D78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transmis</w:t>
      </w:r>
      <w:proofErr w:type="spellEnd"/>
      <w:r w:rsidR="00B33D78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3D78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ocolului</w:t>
      </w:r>
      <w:proofErr w:type="spellEnd"/>
      <w:r w:rsidR="00B33D78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silvic</w:t>
      </w:r>
      <w:r w:rsidR="006D7A9C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D7A9C" w:rsidRDefault="006D7A9C" w:rsidP="000470B5">
      <w:pPr>
        <w:spacing w:after="0" w:line="276" w:lineRule="auto"/>
        <w:ind w:left="-426" w:firstLine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(3) În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situația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materialele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lemnoase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aparțin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unității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militare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transportul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realizează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avizelor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însoțire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materialelor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lemnoase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emise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ocolul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silvic care a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marcarea</w:t>
      </w:r>
      <w:proofErr w:type="spellEnd"/>
      <w:r w:rsidR="008939A5">
        <w:rPr>
          <w:rFonts w:ascii="Times New Roman" w:eastAsia="MS Mincho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F00E45" w:rsidRDefault="00F00E45" w:rsidP="00F00E45">
      <w:pPr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55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 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13D5E">
        <w:rPr>
          <w:rFonts w:ascii="Times New Roman" w:eastAsia="Times New Roman" w:hAnsi="Times New Roman" w:cs="Times New Roman"/>
          <w:color w:val="000000"/>
          <w:sz w:val="24"/>
          <w:szCs w:val="24"/>
        </w:rPr>
        <w:t>Prezentul</w:t>
      </w:r>
      <w:proofErr w:type="spellEnd"/>
      <w:r w:rsidRPr="0031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3D5E">
        <w:rPr>
          <w:rFonts w:ascii="Times New Roman" w:eastAsia="Times New Roman" w:hAnsi="Times New Roman" w:cs="Times New Roman"/>
          <w:color w:val="000000"/>
          <w:sz w:val="24"/>
          <w:szCs w:val="24"/>
        </w:rPr>
        <w:t>ordin</w:t>
      </w:r>
      <w:proofErr w:type="spellEnd"/>
      <w:r w:rsidRPr="0031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13D5E"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31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3D5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1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3D5E">
        <w:rPr>
          <w:rFonts w:ascii="Times New Roman" w:eastAsia="Times New Roman" w:hAnsi="Times New Roman" w:cs="Times New Roman"/>
          <w:color w:val="000000"/>
          <w:sz w:val="24"/>
          <w:szCs w:val="24"/>
        </w:rPr>
        <w:t>Monitoru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Oficial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României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</w:t>
      </w:r>
    </w:p>
    <w:p w:rsidR="00F00E45" w:rsidRDefault="00F00E45" w:rsidP="00F00E45">
      <w:pPr>
        <w:ind w:left="-426" w:firstLine="568"/>
        <w:jc w:val="both"/>
      </w:pPr>
    </w:p>
    <w:p w:rsidR="00F00E45" w:rsidRDefault="00F00E45" w:rsidP="00F00E45">
      <w:pPr>
        <w:ind w:left="-426" w:firstLine="568"/>
        <w:jc w:val="both"/>
      </w:pPr>
    </w:p>
    <w:p w:rsidR="00F00E45" w:rsidRPr="00FC00E0" w:rsidRDefault="00F00E45" w:rsidP="00F00E45">
      <w:pPr>
        <w:spacing w:after="0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E0">
        <w:rPr>
          <w:rFonts w:ascii="Times New Roman" w:hAnsi="Times New Roman" w:cs="Times New Roman"/>
          <w:b/>
          <w:sz w:val="24"/>
          <w:szCs w:val="24"/>
        </w:rPr>
        <w:lastRenderedPageBreak/>
        <w:t>MINISTRU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FC00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MEDIULUI, APELOR ȘI PĂDURILOR</w:t>
      </w:r>
    </w:p>
    <w:p w:rsidR="00F00E45" w:rsidRPr="00FC00E0" w:rsidRDefault="00F00E45" w:rsidP="00F00E45">
      <w:pPr>
        <w:spacing w:after="0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E45" w:rsidRPr="00FC00E0" w:rsidRDefault="00F00E45" w:rsidP="00F00E45">
      <w:pPr>
        <w:spacing w:after="0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00E0">
        <w:rPr>
          <w:rFonts w:ascii="Times New Roman" w:hAnsi="Times New Roman" w:cs="Times New Roman"/>
          <w:b/>
          <w:sz w:val="24"/>
          <w:szCs w:val="24"/>
        </w:rPr>
        <w:t>Costel</w:t>
      </w:r>
      <w:proofErr w:type="spellEnd"/>
      <w:r w:rsidRPr="00FC00E0">
        <w:rPr>
          <w:rFonts w:ascii="Times New Roman" w:hAnsi="Times New Roman" w:cs="Times New Roman"/>
          <w:b/>
          <w:sz w:val="24"/>
          <w:szCs w:val="24"/>
        </w:rPr>
        <w:t xml:space="preserve"> ALEXE</w:t>
      </w:r>
    </w:p>
    <w:p w:rsidR="00F00E45" w:rsidRPr="00017D4B" w:rsidRDefault="00F00E45" w:rsidP="00F00E45">
      <w:pPr>
        <w:ind w:left="-426" w:firstLine="568"/>
        <w:jc w:val="both"/>
      </w:pPr>
    </w:p>
    <w:p w:rsidR="0044085C" w:rsidRPr="007F7FE2" w:rsidRDefault="0044085C" w:rsidP="005356C9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</w:p>
    <w:p w:rsidR="0044085C" w:rsidRPr="007F7FE2" w:rsidRDefault="0044085C" w:rsidP="005356C9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</w:p>
    <w:p w:rsidR="0044085C" w:rsidRPr="007F7FE2" w:rsidRDefault="0044085C" w:rsidP="005356C9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</w:p>
    <w:p w:rsidR="0044085C" w:rsidRPr="007F7FE2" w:rsidRDefault="0044085C" w:rsidP="005356C9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</w:p>
    <w:p w:rsidR="0044085C" w:rsidRPr="007F7FE2" w:rsidRDefault="0044085C" w:rsidP="005356C9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</w:p>
    <w:p w:rsidR="0044085C" w:rsidRPr="007F7FE2" w:rsidRDefault="0044085C" w:rsidP="005356C9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</w:p>
    <w:p w:rsidR="0044085C" w:rsidRPr="007F7FE2" w:rsidRDefault="0044085C" w:rsidP="005356C9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</w:p>
    <w:p w:rsidR="0044085C" w:rsidRPr="007F7FE2" w:rsidRDefault="0044085C" w:rsidP="005356C9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</w:p>
    <w:p w:rsidR="0044085C" w:rsidRPr="007F7FE2" w:rsidRDefault="0044085C" w:rsidP="005356C9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</w:p>
    <w:p w:rsidR="0044085C" w:rsidRPr="007F7FE2" w:rsidRDefault="0044085C" w:rsidP="005356C9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</w:p>
    <w:p w:rsidR="0044085C" w:rsidRPr="007F7FE2" w:rsidRDefault="0044085C" w:rsidP="005356C9">
      <w:pPr>
        <w:spacing w:after="0" w:line="276" w:lineRule="auto"/>
        <w:ind w:left="-426" w:firstLine="71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pl-PL" w:eastAsia="pl-PL"/>
        </w:rPr>
      </w:pPr>
    </w:p>
    <w:sectPr w:rsidR="0044085C" w:rsidRPr="007F7FE2" w:rsidSect="00567B90">
      <w:pgSz w:w="12240" w:h="15840"/>
      <w:pgMar w:top="426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2C7"/>
    <w:multiLevelType w:val="hybridMultilevel"/>
    <w:tmpl w:val="EA5A2744"/>
    <w:lvl w:ilvl="0" w:tplc="9C0C271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E57ABA"/>
    <w:multiLevelType w:val="hybridMultilevel"/>
    <w:tmpl w:val="A066F8E8"/>
    <w:lvl w:ilvl="0" w:tplc="DF763CFA">
      <w:start w:val="1"/>
      <w:numFmt w:val="decimal"/>
      <w:lvlText w:val="(%1)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01579B"/>
    <w:multiLevelType w:val="hybridMultilevel"/>
    <w:tmpl w:val="19FC613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BCE6676"/>
    <w:multiLevelType w:val="hybridMultilevel"/>
    <w:tmpl w:val="1D08FFA2"/>
    <w:lvl w:ilvl="0" w:tplc="140091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E167587"/>
    <w:multiLevelType w:val="hybridMultilevel"/>
    <w:tmpl w:val="2C924CB2"/>
    <w:lvl w:ilvl="0" w:tplc="7E92100E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1D"/>
    <w:rsid w:val="000470B5"/>
    <w:rsid w:val="00075F24"/>
    <w:rsid w:val="000C42D5"/>
    <w:rsid w:val="000C7594"/>
    <w:rsid w:val="000E3D03"/>
    <w:rsid w:val="00111BB4"/>
    <w:rsid w:val="001D585F"/>
    <w:rsid w:val="002950E6"/>
    <w:rsid w:val="002A6EA1"/>
    <w:rsid w:val="002C0D7D"/>
    <w:rsid w:val="002D6629"/>
    <w:rsid w:val="00355A8B"/>
    <w:rsid w:val="003D112B"/>
    <w:rsid w:val="003E306B"/>
    <w:rsid w:val="0040695A"/>
    <w:rsid w:val="0044085C"/>
    <w:rsid w:val="004535FB"/>
    <w:rsid w:val="005356C9"/>
    <w:rsid w:val="00567B90"/>
    <w:rsid w:val="00581A93"/>
    <w:rsid w:val="005B615D"/>
    <w:rsid w:val="005C204B"/>
    <w:rsid w:val="0065241D"/>
    <w:rsid w:val="006D7A9C"/>
    <w:rsid w:val="006F7432"/>
    <w:rsid w:val="007235EC"/>
    <w:rsid w:val="007609F1"/>
    <w:rsid w:val="007C72E5"/>
    <w:rsid w:val="007F3A5F"/>
    <w:rsid w:val="007F7FE2"/>
    <w:rsid w:val="00803302"/>
    <w:rsid w:val="008054DD"/>
    <w:rsid w:val="008936C8"/>
    <w:rsid w:val="008939A5"/>
    <w:rsid w:val="008968BD"/>
    <w:rsid w:val="008D1A8D"/>
    <w:rsid w:val="00922F5E"/>
    <w:rsid w:val="00992CD1"/>
    <w:rsid w:val="009A5139"/>
    <w:rsid w:val="00A200DE"/>
    <w:rsid w:val="00A374BB"/>
    <w:rsid w:val="00A511F5"/>
    <w:rsid w:val="00A71153"/>
    <w:rsid w:val="00A947A0"/>
    <w:rsid w:val="00AC11B3"/>
    <w:rsid w:val="00B1585E"/>
    <w:rsid w:val="00B33D78"/>
    <w:rsid w:val="00B65626"/>
    <w:rsid w:val="00C52552"/>
    <w:rsid w:val="00CA54DB"/>
    <w:rsid w:val="00CC1300"/>
    <w:rsid w:val="00CC46CC"/>
    <w:rsid w:val="00CE0FE7"/>
    <w:rsid w:val="00D23ECF"/>
    <w:rsid w:val="00DE0F1D"/>
    <w:rsid w:val="00E15A74"/>
    <w:rsid w:val="00E44631"/>
    <w:rsid w:val="00E45947"/>
    <w:rsid w:val="00E87F0A"/>
    <w:rsid w:val="00EC592E"/>
    <w:rsid w:val="00EF0073"/>
    <w:rsid w:val="00EF227F"/>
    <w:rsid w:val="00F00E45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8EF57-ACEC-4BA1-A535-BF66E6A4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65241D"/>
  </w:style>
  <w:style w:type="character" w:customStyle="1" w:styleId="shdr">
    <w:name w:val="s_hdr"/>
    <w:basedOn w:val="DefaultParagraphFont"/>
    <w:rsid w:val="0065241D"/>
  </w:style>
  <w:style w:type="character" w:styleId="Hyperlink">
    <w:name w:val="Hyperlink"/>
    <w:basedOn w:val="DefaultParagraphFont"/>
    <w:uiPriority w:val="99"/>
    <w:semiHidden/>
    <w:unhideWhenUsed/>
    <w:rsid w:val="006524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4DD"/>
    <w:pPr>
      <w:ind w:left="720"/>
      <w:contextualSpacing/>
    </w:pPr>
  </w:style>
  <w:style w:type="character" w:customStyle="1" w:styleId="saln">
    <w:name w:val="s_aln"/>
    <w:basedOn w:val="DefaultParagraphFont"/>
    <w:rsid w:val="0044085C"/>
  </w:style>
  <w:style w:type="character" w:customStyle="1" w:styleId="salnttl">
    <w:name w:val="s_aln_ttl"/>
    <w:basedOn w:val="DefaultParagraphFont"/>
    <w:rsid w:val="0044085C"/>
  </w:style>
  <w:style w:type="character" w:customStyle="1" w:styleId="salnbdy">
    <w:name w:val="s_aln_bdy"/>
    <w:basedOn w:val="DefaultParagraphFont"/>
    <w:rsid w:val="0044085C"/>
  </w:style>
  <w:style w:type="character" w:customStyle="1" w:styleId="slgi">
    <w:name w:val="s_lgi"/>
    <w:basedOn w:val="DefaultParagraphFont"/>
    <w:rsid w:val="0044085C"/>
  </w:style>
  <w:style w:type="character" w:customStyle="1" w:styleId="slit">
    <w:name w:val="s_lit"/>
    <w:basedOn w:val="DefaultParagraphFont"/>
    <w:rsid w:val="0044085C"/>
  </w:style>
  <w:style w:type="character" w:customStyle="1" w:styleId="slitttl">
    <w:name w:val="s_lit_ttl"/>
    <w:basedOn w:val="DefaultParagraphFont"/>
    <w:rsid w:val="0044085C"/>
  </w:style>
  <w:style w:type="character" w:customStyle="1" w:styleId="slitbdy">
    <w:name w:val="s_lit_bdy"/>
    <w:basedOn w:val="DefaultParagraphFont"/>
    <w:rsid w:val="0044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3414" TargetMode="External"/><Relationship Id="rId13" Type="http://schemas.openxmlformats.org/officeDocument/2006/relationships/hyperlink" Target="http://legislatie.just.ro/Public/DetaliiDocumentAfis/2034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03414" TargetMode="External"/><Relationship Id="rId12" Type="http://schemas.openxmlformats.org/officeDocument/2006/relationships/hyperlink" Target="http://legislatie.just.ro/Public/DetaliiDocumentAfis/2034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gislatie.just.ro/Public/DetaliiDocumentAfis/2042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04227" TargetMode="External"/><Relationship Id="rId11" Type="http://schemas.openxmlformats.org/officeDocument/2006/relationships/hyperlink" Target="http://legislatie.just.ro/Public/DetaliiDocumentAfis/20341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egislatie.just.ro/Public/DetaliiDocumentAfis/203414" TargetMode="External"/><Relationship Id="rId10" Type="http://schemas.openxmlformats.org/officeDocument/2006/relationships/hyperlink" Target="http://legislatie.just.ro/Public/DetaliiDocumentAfis/203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03414" TargetMode="External"/><Relationship Id="rId14" Type="http://schemas.openxmlformats.org/officeDocument/2006/relationships/hyperlink" Target="http://legislatie.just.ro/Public/DetaliiDocumentAfis/203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4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49</cp:revision>
  <dcterms:created xsi:type="dcterms:W3CDTF">2020-01-27T14:58:00Z</dcterms:created>
  <dcterms:modified xsi:type="dcterms:W3CDTF">2020-02-11T13:22:00Z</dcterms:modified>
</cp:coreProperties>
</file>