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32" w:rsidRPr="009F6806" w:rsidRDefault="00AB4F32" w:rsidP="00AB4F32">
      <w:pPr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>NOTĂ DE FUNDAMENTARE</w:t>
      </w:r>
    </w:p>
    <w:p w:rsidR="00370C58" w:rsidRPr="009F6806" w:rsidRDefault="00370C58" w:rsidP="00AB4F32">
      <w:pPr>
        <w:jc w:val="center"/>
        <w:outlineLvl w:val="0"/>
        <w:rPr>
          <w:rFonts w:ascii="Times New Roman" w:hAnsi="Times New Roman"/>
          <w:b/>
          <w:color w:val="auto"/>
          <w:sz w:val="16"/>
          <w:szCs w:val="16"/>
          <w:lang w:val="ro-RO"/>
        </w:rPr>
      </w:pPr>
    </w:p>
    <w:p w:rsidR="0045679B" w:rsidRPr="009F6806" w:rsidRDefault="0045679B" w:rsidP="00AB4F32">
      <w:pPr>
        <w:jc w:val="center"/>
        <w:rPr>
          <w:rFonts w:ascii="Times New Roman" w:hAnsi="Times New Roman"/>
          <w:color w:val="auto"/>
          <w:sz w:val="16"/>
          <w:szCs w:val="16"/>
          <w:lang w:val="ro-RO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3"/>
        <w:gridCol w:w="1795"/>
        <w:gridCol w:w="892"/>
        <w:gridCol w:w="8"/>
        <w:gridCol w:w="1072"/>
        <w:gridCol w:w="974"/>
        <w:gridCol w:w="16"/>
        <w:gridCol w:w="990"/>
        <w:gridCol w:w="990"/>
        <w:gridCol w:w="1140"/>
      </w:tblGrid>
      <w:tr w:rsidR="009F6806" w:rsidRPr="009F6806" w:rsidTr="00DB0EAB">
        <w:trPr>
          <w:trHeight w:val="274"/>
        </w:trPr>
        <w:tc>
          <w:tcPr>
            <w:tcW w:w="10560" w:type="dxa"/>
            <w:gridSpan w:val="11"/>
          </w:tcPr>
          <w:p w:rsidR="00292DD1" w:rsidRPr="009F6806" w:rsidRDefault="00292DD1" w:rsidP="00292DD1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292DD1" w:rsidRPr="009F6806" w:rsidRDefault="00AB4F32" w:rsidP="00D40FE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1: Titlul proiectului de act normativ</w:t>
            </w:r>
          </w:p>
        </w:tc>
      </w:tr>
      <w:tr w:rsidR="009F6806" w:rsidRPr="009F6806" w:rsidTr="00DB0EAB">
        <w:trPr>
          <w:trHeight w:val="503"/>
        </w:trPr>
        <w:tc>
          <w:tcPr>
            <w:tcW w:w="10560" w:type="dxa"/>
            <w:gridSpan w:val="11"/>
          </w:tcPr>
          <w:p w:rsidR="00714601" w:rsidRPr="009F6806" w:rsidRDefault="00714601" w:rsidP="006F5E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AB4F32" w:rsidRPr="009F6806" w:rsidRDefault="00AB4F32" w:rsidP="006F5E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HOTĂRÂRE A GUVERNULUI</w:t>
            </w:r>
          </w:p>
          <w:p w:rsidR="003E6525" w:rsidRPr="009F6806" w:rsidRDefault="003E6525" w:rsidP="006F5EF3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714601" w:rsidRPr="009F6806" w:rsidRDefault="006D1520" w:rsidP="0006389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privind</w:t>
            </w:r>
            <w:r w:rsidR="003E6525"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aprobarea ocupării temporare din fondul forestier naţional</w:t>
            </w: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a terenului în suprafaţă de 2,0083 ha</w:t>
            </w:r>
            <w:r w:rsidR="003E6525"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, de către Societatea Națională de Transport Gaze Naturale ”Transgaz” </w:t>
            </w:r>
            <w:r w:rsidR="00063896"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SA</w:t>
            </w:r>
            <w:r w:rsidR="003E6525"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, pentru proiectul de </w:t>
            </w: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importanţă naţională</w:t>
            </w:r>
            <w:r w:rsidR="003E6525"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în domeniul gazelor naturale </w:t>
            </w:r>
            <w:r w:rsidR="009B2F7D"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„</w:t>
            </w:r>
            <w:r w:rsidR="00063896"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Conductă de transport gaze naturale Țărmul Mării Negre – Podișor</w:t>
            </w:r>
            <w:r w:rsidR="009B2F7D"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” </w:t>
            </w:r>
          </w:p>
          <w:p w:rsidR="005A4661" w:rsidRPr="009F6806" w:rsidRDefault="005A4661" w:rsidP="00063896">
            <w:pPr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rPr>
          <w:trHeight w:val="503"/>
        </w:trPr>
        <w:tc>
          <w:tcPr>
            <w:tcW w:w="10560" w:type="dxa"/>
            <w:gridSpan w:val="11"/>
          </w:tcPr>
          <w:p w:rsidR="00292DD1" w:rsidRPr="009F6806" w:rsidRDefault="00292DD1" w:rsidP="00D61A5D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292DD1" w:rsidRPr="009F6806" w:rsidRDefault="00AB4F32" w:rsidP="00D40FE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2-a: Motivul emiterii actului normativ</w:t>
            </w:r>
          </w:p>
        </w:tc>
      </w:tr>
      <w:tr w:rsidR="009F6806" w:rsidRPr="009F6806" w:rsidTr="00DB0EAB">
        <w:trPr>
          <w:trHeight w:val="503"/>
        </w:trPr>
        <w:tc>
          <w:tcPr>
            <w:tcW w:w="2683" w:type="dxa"/>
            <w:gridSpan w:val="2"/>
          </w:tcPr>
          <w:p w:rsidR="00AB4F32" w:rsidRPr="009F6806" w:rsidRDefault="00AB4F32" w:rsidP="006F5EF3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Descrierea situaţiei actuale</w:t>
            </w:r>
          </w:p>
        </w:tc>
        <w:tc>
          <w:tcPr>
            <w:tcW w:w="7877" w:type="dxa"/>
            <w:gridSpan w:val="9"/>
          </w:tcPr>
          <w:p w:rsidR="00714601" w:rsidRPr="009F6806" w:rsidRDefault="00966DB0" w:rsidP="003A7211">
            <w:pPr>
              <w:tabs>
                <w:tab w:val="left" w:pos="-540"/>
                <w:tab w:val="left" w:pos="583"/>
              </w:tabs>
              <w:spacing w:line="276" w:lineRule="auto"/>
              <w:ind w:firstLine="436"/>
              <w:jc w:val="both"/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F6806">
              <w:rPr>
                <w:rStyle w:val="tpa1"/>
                <w:rFonts w:ascii="Times New Roman" w:hAnsi="Times New Roman"/>
                <w:color w:val="auto"/>
                <w:sz w:val="24"/>
                <w:szCs w:val="24"/>
              </w:rPr>
              <w:t xml:space="preserve">Prin Legea nr. 185/2016 </w:t>
            </w: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privind unele măsuri pentru implementarea proiectelor de importanță națională</w:t>
            </w:r>
            <w:r w:rsidRPr="009F6806">
              <w:rPr>
                <w:rStyle w:val="tpa1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, </w:t>
            </w:r>
            <w:r w:rsidRPr="009F6806">
              <w:rPr>
                <w:rStyle w:val="tpa1"/>
                <w:rFonts w:ascii="Times New Roman" w:hAnsi="Times New Roman"/>
                <w:color w:val="auto"/>
                <w:sz w:val="24"/>
                <w:szCs w:val="24"/>
              </w:rPr>
              <w:t>în domeniul gazelor naturale</w:t>
            </w:r>
            <w:r w:rsidR="00997AB0" w:rsidRPr="009F6806">
              <w:rPr>
                <w:rStyle w:val="tpa1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9F6806">
              <w:rPr>
                <w:rStyle w:val="tpa1"/>
                <w:rFonts w:ascii="Times New Roman" w:hAnsi="Times New Roman"/>
                <w:color w:val="auto"/>
                <w:sz w:val="24"/>
                <w:szCs w:val="24"/>
              </w:rPr>
              <w:t xml:space="preserve"> au fost </w:t>
            </w:r>
            <w:r w:rsidR="00997AB0" w:rsidRPr="009F6806">
              <w:rPr>
                <w:rStyle w:val="tpa1"/>
                <w:rFonts w:ascii="Times New Roman" w:hAnsi="Times New Roman"/>
                <w:color w:val="auto"/>
                <w:sz w:val="24"/>
                <w:szCs w:val="24"/>
              </w:rPr>
              <w:t>stabilite măsur</w:t>
            </w:r>
            <w:r w:rsidR="00997AB0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ile </w:t>
            </w:r>
            <w:r w:rsidR="00705B4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necesare pentru implementarea proiectelor de importanţă naţională în domeniul gazelor naturale.</w:t>
            </w:r>
            <w:r w:rsidR="00195306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P</w:t>
            </w:r>
            <w:r w:rsidR="00ED4A0A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roiect</w:t>
            </w:r>
            <w:r w:rsidR="00CA069F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ele</w:t>
            </w:r>
            <w:r w:rsidR="00195306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de importanţă naţională în domeniul gazelor </w:t>
            </w:r>
            <w:r w:rsidR="00CA069F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naturale,</w:t>
            </w:r>
            <w:r w:rsidR="00BF7E97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E2C76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includ </w:t>
            </w:r>
            <w:r w:rsidR="0083457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potrivit art. 2 alin. (1) </w:t>
            </w:r>
            <w:proofErr w:type="gramStart"/>
            <w:r w:rsidR="0083457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lit</w:t>
            </w:r>
            <w:proofErr w:type="gramEnd"/>
            <w:r w:rsidR="0083457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m) </w:t>
            </w:r>
            <w:proofErr w:type="gramStart"/>
            <w:r w:rsidR="0083457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din</w:t>
            </w:r>
            <w:proofErr w:type="gramEnd"/>
            <w:r w:rsidR="0083457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lege</w:t>
            </w:r>
            <w:r w:rsidR="003038EF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  <w:r w:rsidR="00195306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proiectele în domeniul gazelor naturale declarate ca fiind de importanţă naţională prin hotărâre a Guvernului, precum şi proiectele de interes comun în domeniul gazelor naturale, stabilite prin regulamente europene</w:t>
            </w:r>
            <w:r w:rsidR="003038EF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E42E3E" w:rsidRPr="009F6806" w:rsidRDefault="00E42E3E" w:rsidP="00BD30FB">
            <w:pPr>
              <w:spacing w:line="276" w:lineRule="auto"/>
              <w:ind w:firstLine="436"/>
              <w:jc w:val="both"/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Proiectul </w:t>
            </w:r>
            <w:r w:rsidR="009B2F7D" w:rsidRPr="009F6806">
              <w:rPr>
                <w:rStyle w:val="do1"/>
                <w:rFonts w:ascii="Times New Roman" w:hAnsi="Times New Roman"/>
                <w:color w:val="auto"/>
                <w:sz w:val="24"/>
                <w:szCs w:val="24"/>
              </w:rPr>
              <w:t>„</w:t>
            </w:r>
            <w:r w:rsidR="00063896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Conductă de transport gaze naturale Țărmul Mării Negre – Podișor”</w:t>
            </w:r>
            <w:r w:rsidR="00063896" w:rsidRPr="009F6806">
              <w:rPr>
                <w:rStyle w:val="do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8678FF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este</w:t>
            </w:r>
            <w:r w:rsidR="008678FF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un</w:t>
            </w:r>
            <w:r w:rsidR="0025664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55ACA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proiect de intere</w:t>
            </w:r>
            <w:r w:rsidR="008678FF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s comun în domniul gazelor natu</w:t>
            </w:r>
            <w:r w:rsidR="00255ACA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rale, </w:t>
            </w:r>
            <w:r w:rsidR="00E72CF8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fiind cuprins în anexa VII</w:t>
            </w:r>
            <w:r w:rsidR="00C21C40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72CF8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a Regulamentului delegat UE 2016/89 al Comisiei din 18 noiembrie 2015 de modificare a Regulamentului</w:t>
            </w:r>
            <w:r w:rsidR="0063103C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(UE) nr. 347/2013 al Parlamentului </w:t>
            </w:r>
            <w:r w:rsidR="00F11A95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European și al Consiliului din 17 aprilie 2013 privind liniile directoare pentru infrastructurile Energetice transeuropene, de abrogare a Deciziei nr. 1.364/2006</w:t>
            </w:r>
            <w:r w:rsidR="008678FF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/CE și de modificare a Regulamentelor (CE) nr. 713/2009, (CE) nr. 714/2009 și (CE) nr. 715/2009</w:t>
            </w:r>
            <w:r w:rsidR="007A3700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  <w:p w:rsidR="00AE4841" w:rsidRPr="009F6806" w:rsidRDefault="00960748" w:rsidP="00AE4841">
            <w:pPr>
              <w:tabs>
                <w:tab w:val="left" w:pos="-540"/>
                <w:tab w:val="left" w:pos="583"/>
              </w:tabs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Anexa VII la Regulamentul (UE) nr. 347/2013</w:t>
            </w:r>
            <w:r w:rsidR="007340B3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, așa cum a fost modificată</w:t>
            </w:r>
            <w:r w:rsidR="002B5B0B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340B3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de Regulamentul delegat UE 2018/540 al Comisiei din 23 noiembrie 2017 de modificare a </w:t>
            </w:r>
            <w:r w:rsidR="00383A2E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Regulamentului (UE) nr. 347/2013 al Parlamentului Europen și al Consiliului în ceea ce privește lista proiectel</w:t>
            </w:r>
            <w:r w:rsidR="00092CA7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or de interes comun al Uniunii</w:t>
            </w: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cuprinde </w:t>
            </w:r>
            <w:r w:rsidR="006351D7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la pct. </w:t>
            </w:r>
            <w:r w:rsidR="00E22BB9" w:rsidRPr="009F6806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6. </w:t>
            </w:r>
            <w:r w:rsidRPr="009F6806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Interconexiunile de gaz pe coridorul nord-sud din Europa Centrală și din Europa de Sud-Est («NSI East Gas»)</w:t>
            </w:r>
            <w:r w:rsidR="00D61A5D" w:rsidRPr="009F6806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-</w:t>
            </w:r>
            <w:r w:rsidR="004D178E" w:rsidRPr="009F6806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B658F7" w:rsidRPr="009F6806">
              <w:rPr>
                <w:rFonts w:ascii="Times New Roman" w:hAnsi="Times New Roman"/>
                <w:color w:val="auto"/>
                <w:shd w:val="clear" w:color="auto" w:fill="FFFFFF"/>
              </w:rPr>
              <w:t>p</w:t>
            </w:r>
            <w:r w:rsidR="006351D7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roiecte care permit </w:t>
            </w:r>
            <w:r w:rsidR="00B658F7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creșterea capacității </w:t>
            </w:r>
            <w:r w:rsidR="00B658F7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de transport</w:t>
            </w:r>
            <w:r w:rsidR="002B5B0B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respectiv 6.24.</w:t>
            </w:r>
            <w:r w:rsidR="006C4AF0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AE4841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AE4841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br/>
              <w:t xml:space="preserve">ROHUAT/BRUA – a doua etapă </w:t>
            </w:r>
            <w:r w:rsidR="00644230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–</w:t>
            </w:r>
            <w:r w:rsidR="00AE4841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22BB9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C</w:t>
            </w:r>
            <w:r w:rsidR="00AE484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onducta malul Mării Negre-Podișor (RO) pentru preluarea gazului din Marea Neagră</w:t>
            </w:r>
            <w:r w:rsidR="00644230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023985" w:rsidRPr="009F6806" w:rsidRDefault="002E25FC" w:rsidP="003A7211">
            <w:pPr>
              <w:tabs>
                <w:tab w:val="left" w:pos="-540"/>
                <w:tab w:val="left" w:pos="583"/>
              </w:tabs>
              <w:spacing w:line="276" w:lineRule="auto"/>
              <w:ind w:firstLine="436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9F6806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Proiectul este cuprins în Planul de Dezvoltare a Sistemului Național de Transport Gaze Naturale 2017-2026</w:t>
            </w:r>
            <w:r w:rsidR="00E22BB9" w:rsidRPr="009F6806">
              <w:rPr>
                <w:rStyle w:val="do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la pct. </w:t>
            </w:r>
            <w:r w:rsidR="009E0A5F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7.2 Dezvoltarea pe teritoriul României a Coridorului Sudic</w:t>
            </w:r>
            <w:r w:rsidR="009E0A5F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 Transport pentru preluarea gazelor naturale de la ţărmul Mării Negre</w:t>
            </w:r>
            <w:r w:rsidR="003D4FBF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B63919" w:rsidRPr="009F6806" w:rsidRDefault="00B63919" w:rsidP="003A7211">
            <w:pPr>
              <w:tabs>
                <w:tab w:val="left" w:pos="-540"/>
                <w:tab w:val="left" w:pos="583"/>
              </w:tabs>
              <w:spacing w:line="276" w:lineRule="auto"/>
              <w:ind w:firstLine="436"/>
              <w:jc w:val="both"/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În conformitate </w:t>
            </w:r>
            <w:r w:rsidR="00832005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cu prevederile </w:t>
            </w:r>
            <w:r w:rsidR="00500E89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art. 2 alin. </w:t>
            </w:r>
            <w:proofErr w:type="gramStart"/>
            <w:r w:rsidR="00500E89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</w:r>
            <w:r w:rsidR="00500E89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softHyphen/>
              <w:t>(</w:t>
            </w:r>
            <w:proofErr w:type="gramEnd"/>
            <w:r w:rsidR="00500E89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1) lit. g) </w:t>
            </w:r>
            <w:proofErr w:type="gramStart"/>
            <w:r w:rsidR="00500E89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din</w:t>
            </w:r>
            <w:proofErr w:type="gramEnd"/>
            <w:r w:rsidR="00500E89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L</w:t>
            </w: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egea </w:t>
            </w:r>
            <w:r w:rsidR="00500E89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nr. </w:t>
            </w: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185/2016, </w:t>
            </w:r>
            <w:r w:rsidR="00973973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inițiato</w:t>
            </w: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rul proiectului</w:t>
            </w:r>
            <w:r w:rsidR="009B5AFC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este </w:t>
            </w:r>
            <w:r w:rsidR="00973973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Societatea Naţională de Transport Gaze Naturale “TRANSGAZ” S.A.</w:t>
            </w:r>
          </w:p>
          <w:p w:rsidR="00B63919" w:rsidRPr="009F6806" w:rsidRDefault="00B63919" w:rsidP="00BF21E1">
            <w:pPr>
              <w:spacing w:line="276" w:lineRule="auto"/>
              <w:ind w:left="11" w:firstLine="42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Societatea Naţională de Transport Gaze Naturale “TRANSGAZ” S.A., înfiinţată în baza Hotărârii Guvernului nr. 334/28 april</w:t>
            </w:r>
            <w:r w:rsidR="00023985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ie 2000, este persoană juridică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română</w:t>
            </w:r>
            <w:r w:rsidR="00973973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aflată sub autoritatea </w:t>
            </w:r>
            <w:r w:rsidR="00167E86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Secretariatului General al Guvernului</w:t>
            </w:r>
            <w:r w:rsidR="00973973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având ca scop îndeplinirea strategiei naţionale stabilite pentru transportul, tranzitul internaţional, dispecerizarea gazelor naturale şi cercetarea-proiectarea în domeniul</w:t>
            </w:r>
            <w:r w:rsidR="004D178E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transportului de gaze naturale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4D178E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fiind operatorul tehnic al sistemului naţional de transport şi răspunde de funcţionarea acestuia în condiţii de calitate, siguranţă, eficienţa economică şi protecţie a mediului înconjurător cu respectarea legislaţiei române.</w:t>
            </w:r>
          </w:p>
          <w:p w:rsidR="00966DB0" w:rsidRPr="009F6806" w:rsidRDefault="00CF5D3A" w:rsidP="003A7211">
            <w:pPr>
              <w:tabs>
                <w:tab w:val="left" w:pos="-540"/>
                <w:tab w:val="left" w:pos="583"/>
              </w:tabs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Potrivit prevederilor art. 18 </w:t>
            </w:r>
            <w:r w:rsidR="00666FE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alin. (1) </w:t>
            </w:r>
            <w:proofErr w:type="gramStart"/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din</w:t>
            </w:r>
            <w:proofErr w:type="gramEnd"/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Legea nr. 185/2016</w:t>
            </w:r>
            <w:r w:rsidR="00062A0B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11611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62A0B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t</w:t>
            </w:r>
            <w:r w:rsidR="005F47D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erenurile forestiere sunt considerate ocupate temporar pe toată durata de execuţie şi existenţă a conductei/conductelor aferente proiectelor de importanţă naţională în domeniul gazelor naturale.</w:t>
            </w:r>
            <w:r w:rsidR="00B65253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66FE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Aprobarea pentru ocuparea temporară a terenurilor forestiere se emite pe toată durata de execuţie şi existenţă în fondul forestier naţional a conductei/conductelor aferente proiectelor, p</w:t>
            </w:r>
            <w:r w:rsidR="005F47D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rin derogare de la prevederile </w:t>
            </w:r>
            <w:hyperlink r:id="rId9" w:anchor="id_artA334" w:history="1">
              <w:r w:rsidR="005F47D2" w:rsidRPr="009F6806">
                <w:rPr>
                  <w:rStyle w:val="do1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 xml:space="preserve">art. 39 alin. (2) </w:t>
              </w:r>
              <w:proofErr w:type="gramStart"/>
              <w:r w:rsidR="005F47D2" w:rsidRPr="009F6806">
                <w:rPr>
                  <w:rStyle w:val="do1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din</w:t>
              </w:r>
              <w:proofErr w:type="gramEnd"/>
              <w:r w:rsidR="005F47D2" w:rsidRPr="009F6806">
                <w:rPr>
                  <w:rStyle w:val="do1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 xml:space="preserve"> Legea nr. 46/2008</w:t>
              </w:r>
            </w:hyperlink>
            <w:r w:rsidR="005F47D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republicată, cu modificările ulterioare, </w:t>
            </w:r>
            <w:r w:rsidR="00666FE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conform prevederilor art. 18 alin. (2) </w:t>
            </w:r>
            <w:proofErr w:type="gramStart"/>
            <w:r w:rsidR="00666FE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din</w:t>
            </w:r>
            <w:proofErr w:type="gramEnd"/>
            <w:r w:rsidR="00666FE2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aceeași lege.</w:t>
            </w:r>
          </w:p>
          <w:p w:rsidR="00AB69B3" w:rsidRPr="009F6806" w:rsidRDefault="00D91D25" w:rsidP="003A7211">
            <w:pPr>
              <w:tabs>
                <w:tab w:val="left" w:pos="-540"/>
                <w:tab w:val="left" w:pos="583"/>
              </w:tabs>
              <w:spacing w:line="276" w:lineRule="auto"/>
              <w:ind w:firstLine="436"/>
              <w:jc w:val="both"/>
              <w:rPr>
                <w:rFonts w:ascii="Times New Roman" w:hAnsi="Times New Roman"/>
                <w:b/>
                <w:color w:val="auto"/>
              </w:rPr>
            </w:pP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Terenul</w:t>
            </w:r>
            <w:r w:rsidR="00931A1F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forestier solicitat</w:t>
            </w:r>
            <w:r w:rsidR="00B37EF6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în suprafață </w:t>
            </w: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totală </w:t>
            </w:r>
            <w:r w:rsidR="00167E86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de 2</w:t>
            </w:r>
            <w:r w:rsidR="00AB69B3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167E86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0083</w:t>
            </w:r>
            <w:r w:rsidR="00EA16B1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ha</w:t>
            </w:r>
            <w:r w:rsidR="00955877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se </w:t>
            </w:r>
            <w:r w:rsidR="00AB69B3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află în proprietatea publică a statului și administrarea Regiei Naționale a Pădurilor – Romsilva prin Direcția Silvică </w:t>
            </w:r>
            <w:r w:rsidR="0080346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Constanța</w:t>
            </w:r>
            <w:r w:rsidR="00AB69B3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Ocolul Silvic </w:t>
            </w:r>
            <w:r w:rsidR="0080346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Murfatlar</w:t>
            </w:r>
            <w:r w:rsidR="00AB69B3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și prin Direcția Silvică </w:t>
            </w:r>
            <w:r w:rsidR="0080346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Giurgiu</w:t>
            </w:r>
            <w:r w:rsidR="00AB69B3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Ocolul Silvic </w:t>
            </w:r>
            <w:r w:rsidR="0080346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Ghimpați</w:t>
            </w:r>
            <w:r w:rsidR="00955877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823695" w:rsidRPr="009F6806" w:rsidRDefault="00823695" w:rsidP="00E32C65">
            <w:pPr>
              <w:spacing w:line="276" w:lineRule="auto"/>
              <w:ind w:firstLine="437"/>
              <w:jc w:val="both"/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Prin derogare de la prevederile </w:t>
            </w:r>
            <w:hyperlink r:id="rId10" w:anchor="id_artA363" w:history="1">
              <w:r w:rsidRPr="009F6806">
                <w:rPr>
                  <w:rStyle w:val="do1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 xml:space="preserve">art. 42 alin. (1) </w:t>
              </w:r>
              <w:proofErr w:type="gramStart"/>
              <w:r w:rsidRPr="009F6806">
                <w:rPr>
                  <w:rStyle w:val="do1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lit</w:t>
              </w:r>
              <w:proofErr w:type="gramEnd"/>
              <w:r w:rsidRPr="009F6806">
                <w:rPr>
                  <w:rStyle w:val="do1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. b) și c) din Legea nr. 46/2008</w:t>
              </w:r>
            </w:hyperlink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 - Codul silvic, republicată, cu modificările și completările ulterioare, ocuparea temporară a terenurilor forestiere </w:t>
            </w:r>
            <w:r w:rsidR="00E32C65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aflate în proprietatea publică a statului se face cu titlu gratuit -</w:t>
            </w: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fără plata chiriei și contravalorii pierderii de creştere determinate de exploatarea masei lemnoase înainte de vârsta exploatabilităţii tehnice, potrivit art. 3 alin. (1) și (2) din Legea nr. 185/2016.</w:t>
            </w:r>
          </w:p>
          <w:p w:rsidR="00966DB0" w:rsidRPr="009F6806" w:rsidRDefault="003757BD" w:rsidP="0045679B">
            <w:pPr>
              <w:tabs>
                <w:tab w:val="left" w:pos="-540"/>
                <w:tab w:val="left" w:pos="583"/>
              </w:tabs>
              <w:spacing w:line="276" w:lineRule="auto"/>
              <w:ind w:firstLine="329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Competenţa pentru aprobarea ocupării temporare a terenurilor din fondul forestier naţional pentru realizarea obiectivelor de importanţă naţională aparţine</w:t>
            </w:r>
            <w:r w:rsidR="006D1385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Guvernului, la propunerea autorităţii publice centrale care răspunde de silvicultură</w:t>
            </w:r>
            <w:r w:rsidR="00103ABE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conform art. 3 alin. 11 din Legea nr. 185/2016.</w:t>
            </w:r>
          </w:p>
          <w:p w:rsidR="00210BCF" w:rsidRPr="009F6806" w:rsidRDefault="005F2420" w:rsidP="0045679B">
            <w:pPr>
              <w:tabs>
                <w:tab w:val="left" w:pos="-540"/>
                <w:tab w:val="left" w:pos="583"/>
              </w:tabs>
              <w:spacing w:line="276" w:lineRule="auto"/>
              <w:ind w:firstLine="329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Realizarea obiectivului „</w:t>
            </w:r>
            <w:r w:rsidR="0044596F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Conductă de transport gaze naturale Țărmul Mării Negre – Podișor”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D3142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308F7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necesită </w:t>
            </w:r>
            <w:r w:rsidR="00D072BE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ocuparea temporară a terenului fore</w:t>
            </w:r>
            <w:r w:rsidR="0044596F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stier în suprafață de 2</w:t>
            </w:r>
            <w:proofErr w:type="gramStart"/>
            <w:r w:rsidR="00C3074F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44596F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0083</w:t>
            </w:r>
            <w:proofErr w:type="gramEnd"/>
            <w:r w:rsidR="00C3074F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ha din fondul forestier național.</w:t>
            </w:r>
          </w:p>
          <w:p w:rsidR="00AB4F32" w:rsidRPr="009F6806" w:rsidRDefault="00AB4F32" w:rsidP="00BD30FB">
            <w:pPr>
              <w:autoSpaceDE w:val="0"/>
              <w:autoSpaceDN w:val="0"/>
              <w:adjustRightInd w:val="0"/>
              <w:spacing w:line="276" w:lineRule="auto"/>
              <w:ind w:firstLine="294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În vederea realizării obiectivului, </w:t>
            </w:r>
            <w:r w:rsidR="006700D7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Societatea Națională de T</w:t>
            </w:r>
            <w:r w:rsidR="00632827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ransport Gaze </w:t>
            </w:r>
            <w:r w:rsidR="006700D7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Naturale </w:t>
            </w:r>
            <w:r w:rsidR="00632827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”</w:t>
            </w:r>
            <w:r w:rsidR="006700D7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Transgaz” SA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 </w:t>
            </w:r>
            <w:r w:rsidR="00D44E55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depus documentația întocmită în vederea aprobării ocupării temporare a teren</w:t>
            </w:r>
            <w:r w:rsidR="00BD30FB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ului forestier în suprafață de </w:t>
            </w:r>
            <w:r w:rsidR="00D3142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BD30FB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D3142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0083</w:t>
            </w:r>
            <w:r w:rsidR="00D44E55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ha, în </w:t>
            </w:r>
            <w:r w:rsidR="00DB2AEC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scopul</w:t>
            </w:r>
            <w:r w:rsidR="00D44E55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realizării obiectivului </w:t>
            </w:r>
            <w:r w:rsidR="002579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„</w:t>
            </w:r>
            <w:r w:rsidR="00D3142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Conductă de transport gaze naturale Țărmul Mării Negre – Podișor</w:t>
            </w:r>
            <w:r w:rsidR="002579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”</w:t>
            </w:r>
            <w:r w:rsidR="00D3142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B655A4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05925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care conține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:</w:t>
            </w:r>
          </w:p>
          <w:p w:rsidR="00675172" w:rsidRPr="009F6806" w:rsidRDefault="004B4469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</w:t>
            </w:r>
            <w:r w:rsidR="0015477E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olicitarea </w:t>
            </w:r>
            <w:r w:rsidR="0067517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Societății Naționale</w:t>
            </w:r>
            <w:r w:rsidR="002579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de T</w:t>
            </w:r>
            <w:r w:rsidR="00632827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ransport Gaze </w:t>
            </w:r>
            <w:r w:rsidR="002579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Naturale </w:t>
            </w:r>
            <w:r w:rsidR="00632827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”</w:t>
            </w:r>
            <w:r w:rsidR="002579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Transgaz” SA</w:t>
            </w:r>
            <w:r w:rsidR="00DD4120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9029A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nr. </w:t>
            </w:r>
            <w:r w:rsidR="00267015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43989/25</w:t>
            </w:r>
            <w:r w:rsidR="0049029A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.0</w:t>
            </w:r>
            <w:r w:rsidR="00267015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</w:t>
            </w:r>
            <w:r w:rsidR="0015477E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.201</w:t>
            </w:r>
            <w:r w:rsidR="00267015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9</w:t>
            </w:r>
            <w:r w:rsidR="0015477E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 înregist</w:t>
            </w:r>
            <w:r w:rsidR="001B52ED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rată </w:t>
            </w:r>
            <w:r w:rsidR="00267015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la Ministerul</w:t>
            </w:r>
            <w:r w:rsidR="0029674E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Apelor și Pădurilor</w:t>
            </w:r>
            <w:r w:rsidR="00267015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la nr. 13332/09</w:t>
            </w:r>
            <w:r w:rsidR="00FC5479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.0</w:t>
            </w:r>
            <w:r w:rsidR="0049029A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8</w:t>
            </w:r>
            <w:r w:rsidR="001B52ED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.201</w:t>
            </w:r>
            <w:r w:rsidR="00267015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9</w:t>
            </w:r>
            <w:r w:rsidR="0015477E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</w:p>
          <w:p w:rsidR="00331EBC" w:rsidRPr="009F6806" w:rsidRDefault="00E65B3E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</w:t>
            </w:r>
            <w:r w:rsidR="00675172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dresa de completare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nr. 64697/01.11.2019</w:t>
            </w:r>
            <w:r w:rsidR="00675172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, </w:t>
            </w:r>
            <w:r w:rsidR="00872E8D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transmisă </w:t>
            </w:r>
            <w:r w:rsidR="00675172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de </w:t>
            </w:r>
            <w:r w:rsidR="0067517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Societatea Națională de T</w:t>
            </w:r>
            <w:r w:rsidR="00F657BC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ransport Gaze </w:t>
            </w:r>
            <w:r w:rsidR="0067517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Naturale </w:t>
            </w:r>
            <w:r w:rsidR="00F657BC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”</w:t>
            </w:r>
            <w:r w:rsidR="0067517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Transgaz” SA</w:t>
            </w:r>
            <w:r w:rsidR="00331EBC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:rsidR="00CC1B7C" w:rsidRPr="009F6806" w:rsidRDefault="0046711F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Memoriul tehnic</w:t>
            </w:r>
            <w:r w:rsidR="001C02CF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CC1B7C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întocmit de </w:t>
            </w:r>
            <w:r w:rsidR="00CC1B7C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Societatea Națională de Transport Gaze Naturale ”Transgaz” SA</w:t>
            </w:r>
            <w:r w:rsidR="00CC1B7C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</w:p>
          <w:p w:rsidR="0015477E" w:rsidRPr="009F6806" w:rsidRDefault="004F3685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Licența pentru desfășurarea activității de operare a sistemului de transport </w:t>
            </w:r>
            <w:r w:rsidR="002E7CBD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a gazelor naturale </w:t>
            </w:r>
            <w:r w:rsidR="00FF25D8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nr. </w:t>
            </w:r>
            <w:r w:rsidR="000C0374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1933 din 20</w:t>
            </w:r>
            <w:r w:rsidR="002E7CBD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.1</w:t>
            </w:r>
            <w:r w:rsidR="000C0374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2.2013</w:t>
            </w:r>
            <w:r w:rsidR="002E7CBD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  <w:r w:rsidR="000C0374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valabilă până la 08.07.2032, </w:t>
            </w:r>
          </w:p>
          <w:p w:rsidR="000C0374" w:rsidRPr="009F6806" w:rsidRDefault="0046711F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Autorizația de construire nr. 5</w:t>
            </w:r>
            <w:r w:rsidR="005753F7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din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="005753F7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</w:t>
            </w:r>
            <w:r w:rsidR="000C0374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.0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</w:t>
            </w:r>
            <w:r w:rsidR="000C0374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.201</w:t>
            </w:r>
            <w:r w:rsidR="005753F7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8</w:t>
            </w:r>
            <w:r w:rsidR="000C0374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FC0B71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emisă de Minister</w:t>
            </w:r>
            <w:r w:rsidR="00760182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ul Energiei</w:t>
            </w:r>
            <w:r w:rsidR="00D20EA5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, </w:t>
            </w:r>
          </w:p>
          <w:p w:rsidR="002E7CBD" w:rsidRPr="009F6806" w:rsidRDefault="002E7CBD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plan</w:t>
            </w:r>
            <w:r w:rsidR="00AA0B8D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uri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încadrare în zonă</w:t>
            </w:r>
            <w:r w:rsidR="000A2AD8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 plan</w:t>
            </w:r>
            <w:r w:rsidR="00D20EA5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uri</w:t>
            </w:r>
            <w:r w:rsidR="000A2AD8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situație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și pl</w:t>
            </w:r>
            <w:r w:rsidR="0049500F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an</w:t>
            </w:r>
            <w:r w:rsidR="00D20EA5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uri</w:t>
            </w:r>
            <w:r w:rsidR="000A2AD8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detaliu al </w:t>
            </w:r>
            <w:r w:rsidR="000A2AD8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 xml:space="preserve">obiectivului, </w:t>
            </w:r>
          </w:p>
          <w:p w:rsidR="00480805" w:rsidRPr="009F6806" w:rsidRDefault="00D20EA5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copii ale</w:t>
            </w:r>
            <w:r w:rsidR="002D689C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hărţii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lor</w:t>
            </w:r>
            <w:r w:rsidR="002D689C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amenajistice pe care este materializat amplasamentu</w:t>
            </w:r>
            <w:r w:rsidR="00AA0B8D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 obiectivului, vizate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ocoalele</w:t>
            </w:r>
            <w:r w:rsidR="002D689C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silvic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 care asigură administrarea</w:t>
            </w:r>
            <w:r w:rsidR="00480805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</w:p>
          <w:p w:rsidR="000A2AD8" w:rsidRPr="009F6806" w:rsidRDefault="008F129D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plan</w:t>
            </w:r>
            <w:r w:rsidR="002C6C2D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urile</w:t>
            </w:r>
            <w:r w:rsidR="000A2A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topografic</w:t>
            </w:r>
            <w:r w:rsidR="002C6C2D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e</w:t>
            </w:r>
            <w:r w:rsidR="000A2A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executat</w:t>
            </w:r>
            <w:r w:rsidR="002C6C2D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e</w:t>
            </w:r>
            <w:r w:rsidR="000A2A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în Sistemul de proiecţie stereografic 1970 cu sistem de cote Marea Neagră 1975,</w:t>
            </w:r>
            <w:r w:rsidR="002C6C2D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al suprafeţelor care fac</w:t>
            </w:r>
            <w:r w:rsidR="000A2A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obiectul </w:t>
            </w:r>
            <w:r w:rsidR="002C6C2D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ocupării</w:t>
            </w:r>
            <w:r w:rsidR="000A2A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temporare </w:t>
            </w:r>
            <w:r w:rsidR="002C6C2D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 terenurilor </w:t>
            </w:r>
            <w:r w:rsidR="000A2A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din fondul forestier naţional,</w:t>
            </w:r>
          </w:p>
          <w:p w:rsidR="003B3064" w:rsidRPr="009F6806" w:rsidRDefault="0049500F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F</w:t>
            </w:r>
            <w:r w:rsidR="00F47DE9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işele tehnice</w:t>
            </w:r>
            <w:r w:rsidR="004B4469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de transmitere-defrişare pentru ocuparea temporară a terenului</w:t>
            </w:r>
            <w:r w:rsidR="00EA1015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E43E5D" w:rsidRPr="009F6806" w:rsidRDefault="00E43E5D" w:rsidP="00E43E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Fișa tehnică de transmitere-defrișare nr. 10333/05.04.201</w:t>
            </w:r>
            <w:r w:rsidR="00872E8D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întocmită de OS Murfatlar, </w:t>
            </w:r>
          </w:p>
          <w:p w:rsidR="003B3064" w:rsidRPr="009F6806" w:rsidRDefault="00EA1015" w:rsidP="003B306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Fișa tehnică de</w:t>
            </w:r>
            <w:r w:rsidR="00480805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transmitere-defrișare nr. 10432/12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.0</w:t>
            </w:r>
            <w:r w:rsidR="00480805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3.2019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întocmită de OS </w:t>
            </w:r>
            <w:r w:rsidR="00480805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Ghimpați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F129D" w:rsidRPr="009F6806" w:rsidRDefault="00446E47" w:rsidP="0090592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Avizele</w:t>
            </w:r>
            <w:r w:rsidR="003E5A0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ocoalelor silvice pentru ocuparea temporară a terenurilor forestiere: </w:t>
            </w:r>
          </w:p>
          <w:p w:rsidR="00446E47" w:rsidRPr="009F6806" w:rsidRDefault="00EA0DF2" w:rsidP="00446E4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Avizul OS </w:t>
            </w:r>
            <w:r w:rsidR="00E3653B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Murfatlar </w:t>
            </w:r>
            <w:r w:rsidR="00EB635B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nr. </w:t>
            </w:r>
            <w:r w:rsidR="00EE0F59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10394/18.04.2019,</w:t>
            </w:r>
          </w:p>
          <w:p w:rsidR="00EA0DF2" w:rsidRPr="009F6806" w:rsidRDefault="00EA0DF2" w:rsidP="00EA0D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Avizul OS </w:t>
            </w:r>
            <w:r w:rsidR="00E3653B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Ghimpați nr. 2377/18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984B93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3653B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.20</w:t>
            </w:r>
            <w:r w:rsidR="00984B93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:rsidR="00946918" w:rsidRPr="009F6806" w:rsidRDefault="00FF7DB1" w:rsidP="00664F2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dovada proprietății asupra terenului forestier</w:t>
            </w:r>
            <w:r w:rsidR="0037726A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și acordul deținătorului</w:t>
            </w:r>
            <w:r w:rsidR="0004193F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64F2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6918" w:rsidRPr="009F6806" w:rsidRDefault="004F415F" w:rsidP="0094691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au fost </w:t>
            </w:r>
            <w:r w:rsidR="00114C5E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atașate</w:t>
            </w:r>
            <w:r w:rsidR="00A442DA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copii ale descrierii parcelare</w:t>
            </w:r>
            <w:r w:rsidR="00114C5E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, </w:t>
            </w:r>
            <w:r w:rsidR="00A442DA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vizate de către</w:t>
            </w:r>
            <w:r w:rsidR="00C31FAA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</w:t>
            </w:r>
            <w:r w:rsidR="00114C5E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o</w:t>
            </w:r>
            <w:r w:rsidR="00C31FAA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co</w:t>
            </w:r>
            <w:r w:rsidR="00114C5E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lele</w:t>
            </w:r>
            <w:r w:rsidR="00A442DA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silvic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e care asigură administrarea, </w:t>
            </w:r>
            <w:r w:rsidR="00946918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care fac dovada proprietății </w:t>
            </w:r>
            <w:r w:rsidR="0094691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pentru terenurile forestiere aflate în proprietatea publică a statului și administrarea Regiei Naționale a Pădurilor – Romsilva, </w:t>
            </w:r>
            <w:r w:rsidR="00946918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potrivit</w:t>
            </w:r>
            <w:r w:rsidR="00114C5E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</w:t>
            </w:r>
            <w:r w:rsidR="00F9799F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art. 3</w:t>
            </w:r>
            <w:r w:rsidR="003E5A08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alin. (1</w:t>
            </w:r>
            <w:r w:rsidR="00F9799F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0) lit</w:t>
            </w:r>
            <w:r w:rsidR="002D03B4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.</w:t>
            </w:r>
            <w:r w:rsidR="00F9799F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g)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din </w:t>
            </w:r>
            <w:r w:rsidR="00F9799F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Legea nr. 185/2016</w:t>
            </w:r>
            <w:r w:rsidR="00946918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;</w:t>
            </w:r>
          </w:p>
          <w:p w:rsidR="00234667" w:rsidRPr="009F6806" w:rsidRDefault="00685AD5" w:rsidP="0094691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adresa </w:t>
            </w:r>
            <w:r w:rsidR="00EB635B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nr. 8630/Gh.M/</w:t>
            </w:r>
            <w:r w:rsidR="00E01319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0</w:t>
            </w:r>
            <w:r w:rsidR="00EB635B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1</w:t>
            </w:r>
            <w:r w:rsidR="00E01319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.10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.201</w:t>
            </w:r>
            <w:r w:rsidR="00EB635B"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>9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 w:eastAsia="ro-RO" w:bidi="ar-SA"/>
              </w:rPr>
              <w:t xml:space="preserve"> emisă de Regia Națională a Pădurilor – Romsilva;</w:t>
            </w:r>
          </w:p>
          <w:p w:rsidR="00F50977" w:rsidRPr="009F6806" w:rsidRDefault="00AB7602" w:rsidP="00D8311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Acordul de mediu</w:t>
            </w:r>
            <w:r w:rsidR="00D608E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50977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nr.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608E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/1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D608E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.05</w:t>
            </w:r>
            <w:r w:rsidR="00F50977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.201</w:t>
            </w:r>
            <w:r w:rsidR="00D608E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F50977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emis de către Agenţia Națională pentru Protecţia  Mediului;</w:t>
            </w:r>
          </w:p>
          <w:p w:rsidR="008D0E19" w:rsidRPr="009F6806" w:rsidRDefault="00CA5F3A" w:rsidP="008D0E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copie</w:t>
            </w:r>
            <w:proofErr w:type="gramEnd"/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de pe documentele</w:t>
            </w:r>
            <w:r w:rsidR="008D0E19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de plată a garanției</w:t>
            </w:r>
            <w:r w:rsidR="00357B6F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în cuantum de </w:t>
            </w:r>
            <w:r w:rsidR="00EB0ED8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190256,74 lei</w:t>
            </w:r>
            <w:r w:rsidR="00EB0E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357B6F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lei</w:t>
            </w:r>
            <w:r w:rsidR="008D0E19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reprezentată de </w:t>
            </w:r>
            <w:r w:rsidR="001C6F12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ordinul de plată </w:t>
            </w:r>
            <w:r w:rsidR="00334A2C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nr. A15A – referință nr. 254 din 03.03.2020.</w:t>
            </w:r>
          </w:p>
          <w:p w:rsidR="00D32B49" w:rsidRPr="009F6806" w:rsidRDefault="00EB0ED8" w:rsidP="008D0E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Avizele gărzi</w:t>
            </w:r>
            <w:r w:rsidR="00D32B49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forestiere:</w:t>
            </w:r>
          </w:p>
          <w:p w:rsidR="00166E8E" w:rsidRPr="009F6806" w:rsidRDefault="00166E8E" w:rsidP="00D32B4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Avizul Gărzii Fore</w:t>
            </w:r>
            <w:r w:rsidR="00714A95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stiere </w:t>
            </w:r>
            <w:r w:rsidR="00EB0E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București</w:t>
            </w:r>
            <w:r w:rsidR="00CA5F3A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nr. </w:t>
            </w:r>
            <w:r w:rsidR="00EB0E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411</w:t>
            </w:r>
            <w:r w:rsidR="005706FE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/2</w:t>
            </w:r>
            <w:r w:rsidR="00EB0E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5706FE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.0</w:t>
            </w:r>
            <w:r w:rsidR="00EB0ED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52A8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.2019</w:t>
            </w:r>
            <w:r w:rsidR="00CC4FC5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32B49" w:rsidRPr="009F6806" w:rsidRDefault="00D32B49" w:rsidP="00D32B4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Avizul Gărzii Forestiere </w:t>
            </w:r>
            <w:r w:rsidR="00A52A8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București nr. 412</w:t>
            </w:r>
            <w:r w:rsidR="00457DF9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/25</w:t>
            </w:r>
            <w:r w:rsidR="00A52A8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.06.2019</w:t>
            </w:r>
            <w:r w:rsidR="003953C4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3953C4" w:rsidRPr="009F6806" w:rsidRDefault="003953C4" w:rsidP="003953C4">
            <w:pPr>
              <w:autoSpaceDE w:val="0"/>
              <w:autoSpaceDN w:val="0"/>
              <w:adjustRightInd w:val="0"/>
              <w:ind w:left="1327"/>
              <w:jc w:val="both"/>
              <w:rPr>
                <w:rFonts w:ascii="Times New Roman" w:hAnsi="Times New Roman"/>
                <w:color w:val="auto"/>
                <w:sz w:val="10"/>
                <w:szCs w:val="10"/>
                <w:shd w:val="clear" w:color="auto" w:fill="FFFFFF"/>
              </w:rPr>
            </w:pPr>
          </w:p>
          <w:p w:rsidR="00A52A88" w:rsidRPr="009F6806" w:rsidRDefault="00316442" w:rsidP="00243001">
            <w:pPr>
              <w:spacing w:line="276" w:lineRule="auto"/>
              <w:ind w:firstLine="43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Terenul </w:t>
            </w:r>
            <w:r w:rsidR="00EC2A64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solicitat în suprafață de </w:t>
            </w:r>
            <w:r w:rsidR="00A52A8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C2A64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A52A8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0083</w:t>
            </w:r>
            <w:r w:rsidR="00EC2A64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ha </w:t>
            </w:r>
            <w:r w:rsidR="00EC2A64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se află în proprietatea publică a statului și administrarea Regiei Naționale a Pădurilor – Romsilva </w:t>
            </w:r>
            <w:r w:rsidR="00A52A88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prin Direcția Silvică Constanța, </w:t>
            </w:r>
            <w:r w:rsidR="00A52A88" w:rsidRPr="009F680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Ocolul Silvic Murfatlar</w:t>
            </w:r>
            <w:r w:rsidR="00A52A88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, localizat în U.P. III Hagieni, u.a.  23 B% = 0,0366 ha, u.a. 26 B% = 0,0406 ha și U.P. IV Cobadin, u.a. 44 %  = 0,2080 ha,</w:t>
            </w:r>
            <w:r w:rsidR="00CB0BA8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u.a. 88 C% = 0,5982 ha, u.a. 69</w:t>
            </w:r>
            <w:r w:rsidR="00A52A88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N% = 0,1173 ha, u.a. 70 N% = 0,0986 ha și prin Direcția Silvică Giurgiu, </w:t>
            </w:r>
            <w:r w:rsidR="00A52A88" w:rsidRPr="009F680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Ocolul Silvic Ghimpați</w:t>
            </w:r>
            <w:r w:rsidR="00A52A88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, localizat în U.P. II Milcovăț, u.a. 75 R% = 0,9090 ha.</w:t>
            </w:r>
          </w:p>
          <w:p w:rsidR="00C97BC4" w:rsidRPr="009F6806" w:rsidRDefault="00185641" w:rsidP="00C97BC4">
            <w:pPr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Societatea Națională de Transport Gaze Naturale ”Transgaz” SA a achitat în Fondul de ameliorare a fondului funciar cu destinaţie silvică, aflat în administrare la Ministerul </w:t>
            </w:r>
            <w:r w:rsidR="00CB012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Mediului,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Apelor şi Pădurilor, garanţia pentru ocuparea temporară a terenului </w:t>
            </w:r>
            <w:r w:rsidR="00B25564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forestier</w:t>
            </w:r>
            <w:r w:rsidR="002D0E7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în suprafață de 2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2D0E7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0083</w:t>
            </w:r>
            <w:r w:rsidR="008D26F9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ha, în cuantum de </w:t>
            </w:r>
            <w:r w:rsidR="002D0E7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190256,74 lei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C97BC4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cu ordinul de plată </w:t>
            </w:r>
            <w:r w:rsidR="001E4BEE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nr. A15A – referință nr. 254 din 03.03.2020.</w:t>
            </w:r>
          </w:p>
          <w:p w:rsidR="00185641" w:rsidRPr="009F6806" w:rsidRDefault="00185641" w:rsidP="00C97BC4">
            <w:pPr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Societatea Națională de Transport Gaze </w:t>
            </w:r>
            <w:proofErr w:type="gramStart"/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Naturale ”</w:t>
            </w:r>
            <w:proofErr w:type="gramEnd"/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Transgaz” SA </w:t>
            </w:r>
            <w:r w:rsidR="002E6633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are obligația achitării</w:t>
            </w:r>
            <w:r w:rsidR="00E01BC0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obligaţiilor băneşti prevăzute la art. 42 alin. (1) </w:t>
            </w:r>
            <w:proofErr w:type="gramStart"/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lit</w:t>
            </w:r>
            <w:proofErr w:type="gramEnd"/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e) </w:t>
            </w:r>
            <w:proofErr w:type="gramStart"/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din</w:t>
            </w:r>
            <w:proofErr w:type="gramEnd"/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Legea 46/2008 – Codul silvic, republicată, cu modificările şi completările ulterioare</w:t>
            </w:r>
            <w:r w:rsidR="00C97BC4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327B5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anticipat predării terenurilor de către ocoalele silvice care asigură administrarea.</w:t>
            </w:r>
          </w:p>
          <w:p w:rsidR="00185641" w:rsidRPr="009F6806" w:rsidRDefault="00274669" w:rsidP="00E7327B">
            <w:pPr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O</w:t>
            </w:r>
            <w:r w:rsidR="0018564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cuparea temporară a terenurilor forestiere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aflate în proprietatea publică a statului </w:t>
            </w:r>
            <w:r w:rsidR="0018564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se face cu titlu </w:t>
            </w:r>
            <w:r w:rsidR="00272CA0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gratuit (fară plata chiriei)</w:t>
            </w:r>
            <w:r w:rsidR="0018564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și fără plata contravalorii pierderii de creştere determinate de exploatarea masei lemnoase înainte de vârsta exploatabilităţii tehnice, potrivit art. 3 alin. (1) și (2) din Legea nr. 185/2016.</w:t>
            </w:r>
          </w:p>
          <w:p w:rsidR="004D31B7" w:rsidRPr="009F6806" w:rsidRDefault="004D31B7" w:rsidP="00E7327B">
            <w:pPr>
              <w:autoSpaceDE w:val="0"/>
              <w:autoSpaceDN w:val="0"/>
              <w:adjustRightInd w:val="0"/>
              <w:spacing w:line="276" w:lineRule="auto"/>
              <w:ind w:left="11" w:firstLine="425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Potrivit art. 27 din Metodol</w:t>
            </w:r>
            <w:r w:rsidR="00542055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ogia aprobată prin Ordinul ministrului mediului, apelor și pădurilor nr. 694/2016, l</w:t>
            </w:r>
            <w:r w:rsidR="004B5603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 stabilirea obligațiilor bănești, c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ategoria de folosinţă </w:t>
            </w:r>
            <w:r w:rsidR="00F550E3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 terenurilor</w:t>
            </w:r>
            <w:r w:rsidR="0043517C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42055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forestiere</w:t>
            </w:r>
            <w:r w:rsidR="008F14E4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B5603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 fost preluată din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amenajamentele silvice </w:t>
            </w:r>
            <w:r w:rsidR="008856FA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în vigoare</w:t>
            </w:r>
            <w:r w:rsidR="00CB0BA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52F54" w:rsidRPr="009F6806" w:rsidRDefault="009A61C1" w:rsidP="00E7327B">
            <w:pPr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La dezafectarea obiectivului, Societatea Națională de Transport Gaze </w:t>
            </w:r>
            <w:proofErr w:type="gramStart"/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Naturale ”</w:t>
            </w:r>
            <w:proofErr w:type="gramEnd"/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Transgaz” SA are obligația redării în circuitul silvic a terenului </w:t>
            </w:r>
            <w:r w:rsidR="008F14E4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forestier în suprafață de 2</w:t>
            </w:r>
            <w:r w:rsidR="00365AB1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8F14E4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0083</w:t>
            </w:r>
            <w:r w:rsidR="007D534F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ha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52F54" w:rsidRPr="009F6806" w:rsidRDefault="00F52F54" w:rsidP="00E7327B">
            <w:pPr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Terenul forestier localizat în </w:t>
            </w:r>
            <w:r w:rsidR="00DC0069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u.a. 23 B%, 26 B%, 44 %, 88 C%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se redă în circuitul silvic apt de a fi împădurit și fără restricţii în ceea ce privește reinstalarea vegetaţiei forestiere, la categoria de folosință „păduri și terenuri destinate împăduririi sau reîmpăduririi”.</w:t>
            </w:r>
          </w:p>
          <w:p w:rsidR="006976E6" w:rsidRPr="009F6806" w:rsidRDefault="006976E6" w:rsidP="006976E6">
            <w:pPr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Terenul forestier localizat în u.a. 69 N% și 70 N%, se redă în circuitul silvic la categoria de folosință de la data intrării </w:t>
            </w:r>
            <w:r w:rsidR="00F20CB5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în vigoare a prezentei hotărâri, respectiv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„teren neproductiv”.</w:t>
            </w:r>
          </w:p>
          <w:p w:rsidR="006976E6" w:rsidRPr="009F6806" w:rsidRDefault="006976E6" w:rsidP="00E7327B">
            <w:pPr>
              <w:autoSpaceDE w:val="0"/>
              <w:autoSpaceDN w:val="0"/>
              <w:adjustRightInd w:val="0"/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Terenul forestier localizat în u.a. 75 R% se redă în circuitul silvic</w:t>
            </w:r>
            <w:r w:rsidR="00CB0BA8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apt de a fi împădurit, la categoria de folosință de la data intrării în vigoare a prezentei hotărâri</w:t>
            </w:r>
            <w:r w:rsidR="00F20CB5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, respectiv</w:t>
            </w:r>
            <w:r w:rsidR="001D0620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„terenuri afectate gospodăririi pădurilor – culoare pentru linii electrice”.</w:t>
            </w:r>
          </w:p>
          <w:p w:rsidR="00461745" w:rsidRPr="009F6806" w:rsidRDefault="00461745" w:rsidP="00E7327B">
            <w:pPr>
              <w:autoSpaceDE w:val="0"/>
              <w:autoSpaceDN w:val="0"/>
              <w:adjustRightInd w:val="0"/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Masa lemnoasă se va</w:t>
            </w:r>
            <w:r w:rsidR="00E67F9D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precompta și se va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exploata conform prevederilor legale în vigoare.</w:t>
            </w:r>
          </w:p>
          <w:p w:rsidR="00461745" w:rsidRPr="009F6806" w:rsidRDefault="005A361C" w:rsidP="00E7327B">
            <w:pPr>
              <w:autoSpaceDE w:val="0"/>
              <w:autoSpaceDN w:val="0"/>
              <w:adjustRightInd w:val="0"/>
              <w:spacing w:line="276" w:lineRule="auto"/>
              <w:ind w:firstLine="436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Masa lemnoasă rezultată în urma defrișării vegetației forestiere revine </w:t>
            </w:r>
            <w:r w:rsidR="00653946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Regiei Naționale a Pădurilor - Romsilva în calitate de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administrato</w:t>
            </w:r>
            <w:r w:rsidR="00653946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 al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fondului forestier proprietate publică a statului.</w:t>
            </w:r>
          </w:p>
        </w:tc>
      </w:tr>
      <w:tr w:rsidR="009F6806" w:rsidRPr="009F6806" w:rsidTr="00DB0EAB">
        <w:trPr>
          <w:trHeight w:val="503"/>
        </w:trPr>
        <w:tc>
          <w:tcPr>
            <w:tcW w:w="2683" w:type="dxa"/>
            <w:gridSpan w:val="2"/>
          </w:tcPr>
          <w:p w:rsidR="00AB4F32" w:rsidRPr="009F6806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1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În cazul proiectelor de acte normative care transpun legislaţie comunitară sau creează cadrul pentru aplicarea directă a acesteia.</w:t>
            </w:r>
          </w:p>
        </w:tc>
        <w:tc>
          <w:tcPr>
            <w:tcW w:w="7877" w:type="dxa"/>
            <w:gridSpan w:val="9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9F6806" w:rsidRDefault="00AB4F32" w:rsidP="003F336F">
            <w:pPr>
              <w:ind w:firstLine="294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c>
          <w:tcPr>
            <w:tcW w:w="2683" w:type="dxa"/>
            <w:gridSpan w:val="2"/>
          </w:tcPr>
          <w:p w:rsidR="00AB4F32" w:rsidRPr="009F6806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Schimbări preconizate</w:t>
            </w:r>
          </w:p>
        </w:tc>
        <w:tc>
          <w:tcPr>
            <w:tcW w:w="7877" w:type="dxa"/>
            <w:gridSpan w:val="9"/>
          </w:tcPr>
          <w:p w:rsidR="00C84FF1" w:rsidRPr="009F6806" w:rsidRDefault="00AB4F32" w:rsidP="0014505E">
            <w:pPr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Promovarea prezentului proiect de act normativ are drept scop aprobarea </w:t>
            </w:r>
            <w:r w:rsidR="006B43CB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ocupării temporare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din fondul forestier naţional, a </w:t>
            </w:r>
            <w:r w:rsidR="009A714C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terenului în suprafaţă de </w:t>
            </w:r>
            <w:r w:rsidR="00C84FF1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  <w:r w:rsidR="00E7327B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,</w:t>
            </w:r>
            <w:r w:rsidR="00C84FF1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0083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ha, în vederea realizării </w:t>
            </w:r>
            <w:r w:rsidR="00CB0BA8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proiectului de </w:t>
            </w:r>
            <w:r w:rsidR="006D1520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importanţă naţională</w:t>
            </w:r>
            <w:r w:rsidR="00CB0BA8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în domeniul gazelor naturale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C84FF1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„Conductă de transport gaze naturale Țărmul Mării Negre – Podișor”.</w:t>
            </w:r>
          </w:p>
          <w:p w:rsidR="00455343" w:rsidRPr="009F6806" w:rsidRDefault="00455343" w:rsidP="0014505E">
            <w:pPr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Ocuparea temporară a terenului forestier </w:t>
            </w:r>
            <w:r w:rsidR="00E75D61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în suprafață</w:t>
            </w:r>
            <w:r w:rsidR="005F4E34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de 2,0083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ha se </w:t>
            </w:r>
            <w:r w:rsidR="00A82EBD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emite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pe toată durata de execuţie şi existenţă în fondul forestier naţional a obiectivului</w:t>
            </w:r>
            <w:r w:rsidR="005F4E34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5F4E34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„Conductă de transport gaze naturale Țărmul Mării Negre – Podișor”. </w:t>
            </w:r>
            <w:r w:rsidR="00A82EBD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Terenul forestier se consideră ocupat temporar pe toată durata de execuție și existență a obiectivul</w:t>
            </w:r>
            <w:r w:rsidR="008F5A93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ui în fondul forestier naț</w:t>
            </w:r>
            <w:r w:rsidR="007D53E6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ional, conform art. 18 alin. (1)</w:t>
            </w:r>
            <w:r w:rsidR="008F5A93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din Legea nr. 185/2016.</w:t>
            </w:r>
          </w:p>
          <w:p w:rsidR="00E512ED" w:rsidRPr="009F6806" w:rsidRDefault="00D60F5F" w:rsidP="00D47F77">
            <w:pPr>
              <w:autoSpaceDE w:val="0"/>
              <w:autoSpaceDN w:val="0"/>
              <w:adjustRightInd w:val="0"/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Ocuparea temporară a terenului forestier</w:t>
            </w:r>
            <w:r w:rsidR="0014505E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E75D61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se face cu</w:t>
            </w:r>
            <w:r w:rsidR="00AB4F32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d</w:t>
            </w:r>
            <w:r w:rsidR="000D389C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efrişarea vegetaţiei </w:t>
            </w:r>
            <w:r w:rsidR="000D389C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forestiere, conform</w:t>
            </w:r>
            <w:r w:rsidR="0014505E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5F4E34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Acordului de mediu</w:t>
            </w:r>
            <w:r w:rsidR="00177794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nr. 1</w:t>
            </w:r>
            <w:r w:rsidR="0014505E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/1</w:t>
            </w:r>
            <w:r w:rsidR="00177794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14505E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.05</w:t>
            </w:r>
            <w:r w:rsidR="00E512ED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.201</w:t>
            </w:r>
            <w:r w:rsidR="0014505E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E512ED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emis de către Agenţia Națio</w:t>
            </w:r>
            <w:r w:rsidR="00947FB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nală pentru </w:t>
            </w:r>
            <w:proofErr w:type="gramStart"/>
            <w:r w:rsidR="00947FB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Protecţia  Mediului</w:t>
            </w:r>
            <w:proofErr w:type="gramEnd"/>
            <w:r w:rsidR="00947FB8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E512ED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D13FD" w:rsidRPr="009F6806" w:rsidRDefault="003F336F" w:rsidP="00DC5172">
            <w:pPr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Ocuparea temporară din fondul forestier naţional a terenului forestier se face cu defrişarea vegetaţiei forestiere după cum urmează: </w:t>
            </w:r>
            <w:r w:rsidR="002D13FD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pe raza </w:t>
            </w:r>
            <w:r w:rsidR="002D13FD" w:rsidRPr="009F680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Ocolului Silvic Murfatlar</w:t>
            </w:r>
            <w:r w:rsidR="002D13FD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, U.P. III Hagieni, u.a.  23 B% = 0</w:t>
            </w:r>
            <w:proofErr w:type="gramStart"/>
            <w:r w:rsidR="002D13FD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,0366</w:t>
            </w:r>
            <w:proofErr w:type="gramEnd"/>
            <w:r w:rsidR="002D13FD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ha, u.a. 26 B% = 0,0406 ha și U.P. IV Cobadin, u.a. 44 %  = 0,2080 ha și u.a. 88 C% = 0,4670 ha. </w:t>
            </w:r>
          </w:p>
          <w:p w:rsidR="0084581B" w:rsidRPr="009F6806" w:rsidRDefault="008F6518" w:rsidP="005564C6">
            <w:pPr>
              <w:spacing w:line="276" w:lineRule="auto"/>
              <w:ind w:firstLine="43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R</w:t>
            </w:r>
            <w:r w:rsidR="0084581B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ăspunderea pentru veridicitatea/exactitatea datelor din cuprinsul documentației justificative</w:t>
            </w:r>
            <w:r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 proiectului</w:t>
            </w:r>
            <w:r w:rsidR="0084581B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inclusiv cu privire la situația juridică a imobilelor aflate pe culoarul de lucru aferent lucrărilor proiectului, precum și veridicitatea/exactitatea documentației tehnico-economice (piese scrise și desenate) și financiare ale proiectului (modul de calcul al obligațiilor bănești) revine inițiatorului proiectului -  Societatea Națională de Transport Gaze Naturale „Transgaz” SA și </w:t>
            </w:r>
            <w:r w:rsidR="00D47F77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entăților</w:t>
            </w:r>
            <w:r w:rsidR="0084581B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emitente ale înscr</w:t>
            </w:r>
            <w:r w:rsidR="00CB0BA8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isurilor din cuprinsul acesteia</w:t>
            </w:r>
            <w:r w:rsidR="0084581B" w:rsidRPr="009F6806">
              <w:rPr>
                <w:rStyle w:val="do1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9F6806" w:rsidRPr="009F6806" w:rsidTr="00DB0EAB">
        <w:tc>
          <w:tcPr>
            <w:tcW w:w="2683" w:type="dxa"/>
            <w:gridSpan w:val="2"/>
          </w:tcPr>
          <w:p w:rsidR="00AB4F32" w:rsidRPr="009F6806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3. Alte informaţii</w:t>
            </w:r>
          </w:p>
        </w:tc>
        <w:tc>
          <w:tcPr>
            <w:tcW w:w="7877" w:type="dxa"/>
            <w:gridSpan w:val="9"/>
          </w:tcPr>
          <w:p w:rsidR="009223F5" w:rsidRPr="009F6806" w:rsidRDefault="00506C91" w:rsidP="00AD54C5">
            <w:pPr>
              <w:spacing w:line="276" w:lineRule="auto"/>
              <w:ind w:left="11"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Ministerul Energiei, în calitate de autoritate responsabilă </w:t>
            </w:r>
            <w:r w:rsidR="00907C42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de facilitarea și coordonarea procedurii de autorizare a proiectelor PIC, a emis</w:t>
            </w:r>
            <w:r w:rsidR="00C71793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Autorizația de construire nr. 5/1</w:t>
            </w:r>
            <w:r w:rsidR="00D47F77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</w:t>
            </w:r>
            <w:r w:rsidR="00907C42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.0</w:t>
            </w:r>
            <w:r w:rsidR="00C71793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</w:t>
            </w:r>
            <w:r w:rsidR="00907C42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.201</w:t>
            </w:r>
            <w:r w:rsidR="00D47F77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8</w:t>
            </w:r>
            <w:r w:rsidR="00907C42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aferentă executării lucrărilor de construire </w:t>
            </w:r>
            <w:r w:rsidR="002538A4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pentru </w:t>
            </w:r>
            <w:r w:rsidR="00AD54C5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proiectul: </w:t>
            </w:r>
            <w:r w:rsidR="00C71793"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„Conductă de transport gaze naturale Țărmul Mării Negre – Podișor”.</w:t>
            </w:r>
          </w:p>
          <w:p w:rsidR="007217E4" w:rsidRPr="009F6806" w:rsidRDefault="00F550D0" w:rsidP="005A4661">
            <w:pPr>
              <w:spacing w:line="276" w:lineRule="auto"/>
              <w:ind w:left="11"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Lista terenurilor agricole situate în extravilan, pentru proiectul de interes com</w:t>
            </w:r>
            <w:r w:rsidR="005A4661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un în domeniul gazelor naturale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="005A4661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„</w:t>
            </w:r>
            <w:r w:rsidR="003D2ED7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Conducta Țărmul Mării Negre – Podișor (RO) pentru preluarea gazului din Marea Neagră</w:t>
            </w:r>
            <w:r w:rsidR="00835B61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” a fost aprobată </w:t>
            </w:r>
            <w:r w:rsidR="005A4661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prin Hotărârea Guvernului nr. 9/2019</w:t>
            </w:r>
            <w:r w:rsidR="00835B61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. </w:t>
            </w:r>
            <w:r w:rsidR="009F6996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</w:p>
        </w:tc>
      </w:tr>
      <w:tr w:rsidR="009F6806" w:rsidRPr="009F6806" w:rsidTr="00DB0EAB">
        <w:trPr>
          <w:trHeight w:val="493"/>
        </w:trPr>
        <w:tc>
          <w:tcPr>
            <w:tcW w:w="10560" w:type="dxa"/>
            <w:gridSpan w:val="11"/>
          </w:tcPr>
          <w:p w:rsidR="0045679B" w:rsidRPr="009F6806" w:rsidRDefault="0045679B" w:rsidP="0045679B">
            <w:pPr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292DD1" w:rsidRPr="009F6806" w:rsidRDefault="00AB4F32" w:rsidP="00D40FE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3-a: Impactul socio-economic al proiectului de act normativ</w:t>
            </w:r>
          </w:p>
        </w:tc>
      </w:tr>
      <w:tr w:rsidR="009F6806" w:rsidRPr="009F6806" w:rsidTr="00DB0EAB">
        <w:tc>
          <w:tcPr>
            <w:tcW w:w="2670" w:type="dxa"/>
          </w:tcPr>
          <w:p w:rsidR="00AB4F32" w:rsidRPr="009F6806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Impactul macroeconomic</w:t>
            </w:r>
          </w:p>
        </w:tc>
        <w:tc>
          <w:tcPr>
            <w:tcW w:w="7890" w:type="dxa"/>
            <w:gridSpan w:val="10"/>
          </w:tcPr>
          <w:p w:rsidR="00AB4F32" w:rsidRPr="009F6806" w:rsidRDefault="0047632F" w:rsidP="00292DD1">
            <w:pPr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Proiectul de hotărâre respectă la cerinţele Guvernului de a promova o politică macroeconomică stabilă din punct de vedere financiar, care să asigure o execuţie bugetară prudentă, restrictivă şi echilibrată.  </w:t>
            </w:r>
          </w:p>
        </w:tc>
      </w:tr>
      <w:tr w:rsidR="009F6806" w:rsidRPr="009F6806" w:rsidTr="00DB0EAB">
        <w:trPr>
          <w:trHeight w:val="1152"/>
        </w:trPr>
        <w:tc>
          <w:tcPr>
            <w:tcW w:w="2670" w:type="dxa"/>
          </w:tcPr>
          <w:p w:rsidR="00AB4F32" w:rsidRPr="009F6806" w:rsidRDefault="00AB4F32" w:rsidP="00D640DD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>1</w:t>
            </w:r>
            <w:r w:rsidR="00D640DD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Impactul asupra </w:t>
            </w:r>
            <w:r w:rsidR="00D640DD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mediului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concurenţial şi domeniului ajutoarelor de stat</w:t>
            </w:r>
          </w:p>
        </w:tc>
        <w:tc>
          <w:tcPr>
            <w:tcW w:w="7890" w:type="dxa"/>
            <w:gridSpan w:val="10"/>
          </w:tcPr>
          <w:p w:rsidR="00AB4F32" w:rsidRPr="009F6806" w:rsidRDefault="00AB4F32" w:rsidP="00E0193E">
            <w:pPr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F6806" w:rsidRPr="009F6806" w:rsidTr="00080333">
        <w:trPr>
          <w:trHeight w:val="590"/>
        </w:trPr>
        <w:tc>
          <w:tcPr>
            <w:tcW w:w="2670" w:type="dxa"/>
          </w:tcPr>
          <w:p w:rsidR="001959D9" w:rsidRPr="009F6806" w:rsidRDefault="001959D9" w:rsidP="00D40FEE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Impactul asupra mediului de afaceri</w:t>
            </w:r>
          </w:p>
        </w:tc>
        <w:tc>
          <w:tcPr>
            <w:tcW w:w="7890" w:type="dxa"/>
            <w:gridSpan w:val="10"/>
          </w:tcPr>
          <w:p w:rsidR="001959D9" w:rsidRPr="009F6806" w:rsidRDefault="00477E09" w:rsidP="00E0193E">
            <w:pPr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F6806" w:rsidRPr="009F6806" w:rsidTr="00DB0EAB">
        <w:tc>
          <w:tcPr>
            <w:tcW w:w="2670" w:type="dxa"/>
          </w:tcPr>
          <w:p w:rsidR="00AB4F32" w:rsidRPr="009F6806" w:rsidRDefault="00AB4F32" w:rsidP="006F5EF3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Impactul social</w:t>
            </w:r>
          </w:p>
        </w:tc>
        <w:tc>
          <w:tcPr>
            <w:tcW w:w="7890" w:type="dxa"/>
            <w:gridSpan w:val="10"/>
          </w:tcPr>
          <w:p w:rsidR="00AB4F32" w:rsidRPr="009F6806" w:rsidRDefault="00561215" w:rsidP="00E0193E">
            <w:pPr>
              <w:spacing w:line="276" w:lineRule="auto"/>
              <w:ind w:firstLine="307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</w:t>
            </w:r>
          </w:p>
        </w:tc>
      </w:tr>
      <w:tr w:rsidR="009F6806" w:rsidRPr="009F6806" w:rsidTr="00DB0EAB">
        <w:tc>
          <w:tcPr>
            <w:tcW w:w="2670" w:type="dxa"/>
          </w:tcPr>
          <w:p w:rsidR="00AB4F32" w:rsidRPr="009F6806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4. Impactul asupra mediului </w:t>
            </w:r>
          </w:p>
        </w:tc>
        <w:tc>
          <w:tcPr>
            <w:tcW w:w="7890" w:type="dxa"/>
            <w:gridSpan w:val="10"/>
          </w:tcPr>
          <w:p w:rsidR="00AB4F32" w:rsidRPr="009F6806" w:rsidRDefault="00AB4F32" w:rsidP="00E0193E">
            <w:pPr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Evaluarea impactului asupra mediului se realizează de către autoritatea competentă în domeniu.</w:t>
            </w:r>
          </w:p>
          <w:p w:rsidR="00DB0342" w:rsidRPr="009F6806" w:rsidRDefault="006B62E7" w:rsidP="006B62E7">
            <w:pPr>
              <w:autoSpaceDE w:val="0"/>
              <w:autoSpaceDN w:val="0"/>
              <w:adjustRightInd w:val="0"/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Agenția Națională pentru Protecția Mediului a emis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Acordul de mediu nr. 1/10.05.2018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.</w:t>
            </w:r>
          </w:p>
        </w:tc>
      </w:tr>
      <w:tr w:rsidR="009F6806" w:rsidRPr="009F6806" w:rsidTr="00DB0EAB">
        <w:tc>
          <w:tcPr>
            <w:tcW w:w="2670" w:type="dxa"/>
          </w:tcPr>
          <w:p w:rsidR="00AB4F32" w:rsidRPr="009F6806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Alte informaţii</w:t>
            </w:r>
          </w:p>
        </w:tc>
        <w:tc>
          <w:tcPr>
            <w:tcW w:w="7890" w:type="dxa"/>
            <w:gridSpan w:val="10"/>
          </w:tcPr>
          <w:p w:rsidR="00BF0D91" w:rsidRPr="009F6806" w:rsidRDefault="00BF0D91" w:rsidP="00D101D9">
            <w:pPr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În vederea transportului gazelor naturale extrase d</w:t>
            </w:r>
            <w:r w:rsidR="005C66AA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in perimetrele aflate în Marea N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eagră </w:t>
            </w:r>
            <w:r w:rsidR="005C66AA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este necesară construirea unei conducte între Țărmul Mării Negre și zona Nodului Tehnologic Podișor.</w:t>
            </w:r>
          </w:p>
          <w:p w:rsidR="005C66AA" w:rsidRPr="009F6806" w:rsidRDefault="005C66AA" w:rsidP="00D101D9">
            <w:pPr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Conducta Țărmul Mării Negre – Podișor se va cupla </w:t>
            </w:r>
            <w:r w:rsidR="003009F4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cu conducta Ø32” x 63 bari Podișor – Corbu, conductă care face parte din coridorul </w:t>
            </w:r>
            <w:r w:rsidR="008C69DB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de transport Bulgaria – România – Ungaria – Austria.</w:t>
            </w:r>
          </w:p>
          <w:p w:rsidR="00B7032B" w:rsidRPr="009F6806" w:rsidRDefault="00B7032B" w:rsidP="00D101D9">
            <w:pPr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În </w:t>
            </w:r>
            <w:r w:rsidR="0095060D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contextu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 în care Europa devine tot mai dependentă de importuri de gaze naturale, accesul la </w:t>
            </w:r>
            <w:r w:rsidR="0095060D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noi resurse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devine o </w:t>
            </w:r>
            <w:r w:rsidR="0095060D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neces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itate imperioasă. Studiile și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evaluările realizate până în prezent au evidențiat zăcăminte de gaze naturale semnificative în Marea Negră. </w:t>
            </w:r>
            <w:r w:rsidR="0095060D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M</w:t>
            </w:r>
            <w:r w:rsidR="00354CA4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ai mult, </w:t>
            </w:r>
            <w:r w:rsidR="00354CA4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AGRI are în vedere transportul gazelor din zona Mării Caspice până la țărmul Mării Negre.</w:t>
            </w:r>
          </w:p>
          <w:p w:rsidR="008B58B0" w:rsidRPr="009F6806" w:rsidRDefault="008B58B0" w:rsidP="00D101D9">
            <w:pPr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Prin construirea unei conducte de transport gaze naturale între țărm</w:t>
            </w:r>
            <w:r w:rsidR="00545B25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ul Mării Negre și zona Nodului T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ehnologic </w:t>
            </w:r>
            <w:r w:rsidR="00545B25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Podișor se vor atinge următoarele obiective:</w:t>
            </w:r>
          </w:p>
          <w:p w:rsidR="00545B25" w:rsidRPr="009F6806" w:rsidRDefault="00545B25" w:rsidP="00D101D9">
            <w:pPr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-diversificarea surselor de alimentare cu gaze naturale a consumatorilor din România,</w:t>
            </w:r>
          </w:p>
          <w:p w:rsidR="00545B25" w:rsidRPr="009F6806" w:rsidRDefault="00545B25" w:rsidP="00D101D9">
            <w:pPr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 reducerea gradului de dependență </w:t>
            </w:r>
            <w:r w:rsidR="00704E14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de importul de gaze din Rusia,</w:t>
            </w:r>
          </w:p>
          <w:p w:rsidR="00704E14" w:rsidRPr="009F6806" w:rsidRDefault="00704E14" w:rsidP="00D101D9">
            <w:pPr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 transportul spre piețele central Europene a gazelor naturale din Marea Negra,</w:t>
            </w:r>
          </w:p>
          <w:p w:rsidR="00704E14" w:rsidRPr="009F6806" w:rsidRDefault="00704E14" w:rsidP="00D101D9">
            <w:pPr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-dezvoltarea unei capacități de transport ce va permite în viitor interconectarea </w:t>
            </w:r>
            <w:r w:rsidR="00310E11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cu conductele care vor avea ca surse potențiale de alimentare gazele lichefiate de la țărmul Mării Negre sau gazele de șist.</w:t>
            </w:r>
          </w:p>
          <w:p w:rsidR="00310E11" w:rsidRPr="009F6806" w:rsidRDefault="00310E11" w:rsidP="00D101D9">
            <w:pPr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Conducta de transport gaze natuarale Țărmul Mării Negre – Podișor </w:t>
            </w:r>
            <w:r w:rsidR="00505A08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este inclus în Planul de Dezvoltare pe 10 ani al Transgaz.</w:t>
            </w:r>
          </w:p>
          <w:p w:rsidR="00BF0D91" w:rsidRPr="009F6806" w:rsidRDefault="001D0620" w:rsidP="00D101D9">
            <w:pPr>
              <w:spacing w:line="276" w:lineRule="auto"/>
              <w:ind w:firstLine="30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Proiectarea conductei de transport gaze naturale </w:t>
            </w:r>
            <w:proofErr w:type="gramStart"/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Dn  1000</w:t>
            </w:r>
            <w:proofErr w:type="gramEnd"/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x</w:t>
            </w:r>
            <w:r w:rsidR="008341AF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63 bar</w:t>
            </w:r>
            <w:r w:rsidR="008341AF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i,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s-a efectuat în conformitate cu prevederile 118/2013 „Normelor tehnice pentru proiectarea și execuția conductelor de transport gaze naturale”.</w:t>
            </w:r>
          </w:p>
          <w:p w:rsidR="0019044F" w:rsidRPr="009F6806" w:rsidRDefault="0019044F" w:rsidP="00D101D9">
            <w:pPr>
              <w:spacing w:line="276" w:lineRule="auto"/>
              <w:ind w:firstLine="30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Norme tehnice pentru proiectarea şi execuţia conductelor de transport gaze naturale”, aprobate prin Ordinul </w:t>
            </w:r>
            <w:proofErr w:type="gramStart"/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>preşedintelui  A.N.R.E</w:t>
            </w:r>
            <w:proofErr w:type="gramEnd"/>
            <w:r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nr. 118/2013, </w:t>
            </w:r>
            <w:r w:rsidR="004E0359" w:rsidRPr="009F6806">
              <w:rPr>
                <w:rFonts w:ascii="Times New Roman" w:hAnsi="Times New Roman"/>
                <w:color w:val="auto"/>
                <w:sz w:val="24"/>
                <w:szCs w:val="24"/>
              </w:rPr>
              <w:t>la art. 30,</w:t>
            </w:r>
            <w:r w:rsidR="009E078F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E0359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31 și 32 specifică faptul că pentu protecția și funcționarea normală a conductelor de transport gaze naturale, se instituie zone de protecție și zone de siguranță, delimitate de-a lungul întregului traseu al conductei, de-o parte și de alta a axei longitudinale </w:t>
            </w:r>
            <w:r w:rsidR="009E078F" w:rsidRPr="009F680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 conductei. </w:t>
            </w:r>
          </w:p>
        </w:tc>
      </w:tr>
      <w:tr w:rsidR="009F6806" w:rsidRPr="009F6806" w:rsidTr="00DB0EAB">
        <w:tc>
          <w:tcPr>
            <w:tcW w:w="10560" w:type="dxa"/>
            <w:gridSpan w:val="11"/>
          </w:tcPr>
          <w:p w:rsidR="00A96FEF" w:rsidRPr="009F6806" w:rsidRDefault="00A96FEF" w:rsidP="00A96FEF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AB4F32" w:rsidRPr="009F6806" w:rsidRDefault="00AB4F32" w:rsidP="00A96FEF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4-a: Impactul financiar asupra bugetului general consolidat, atât pe termen scurt, pentru anul curent, cât şi pe termen lung (pe 5 ani)</w:t>
            </w:r>
          </w:p>
          <w:p w:rsidR="00A96FEF" w:rsidRPr="009F6806" w:rsidRDefault="00A96FEF" w:rsidP="00A96FEF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6672EB" w:rsidRPr="009F6806" w:rsidRDefault="006672EB" w:rsidP="000B01D1">
            <w:pPr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are impact asupra bugetului general consolidat</w:t>
            </w:r>
          </w:p>
        </w:tc>
      </w:tr>
      <w:tr w:rsidR="009F6806" w:rsidRPr="009F6806" w:rsidTr="00DB0EAB">
        <w:tc>
          <w:tcPr>
            <w:tcW w:w="10560" w:type="dxa"/>
            <w:gridSpan w:val="11"/>
          </w:tcPr>
          <w:p w:rsidR="00AB4F32" w:rsidRPr="009F6806" w:rsidRDefault="00AB4F32" w:rsidP="006F5EF3">
            <w:pPr>
              <w:spacing w:line="360" w:lineRule="auto"/>
              <w:jc w:val="right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 mii lei -</w:t>
            </w:r>
          </w:p>
        </w:tc>
      </w:tr>
      <w:tr w:rsidR="009F6806" w:rsidRPr="009F6806" w:rsidTr="00DB0EAB">
        <w:trPr>
          <w:trHeight w:val="564"/>
        </w:trPr>
        <w:tc>
          <w:tcPr>
            <w:tcW w:w="4478" w:type="dxa"/>
            <w:gridSpan w:val="3"/>
          </w:tcPr>
          <w:p w:rsidR="00AB4F32" w:rsidRPr="009F6806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900" w:type="dxa"/>
            <w:gridSpan w:val="2"/>
          </w:tcPr>
          <w:p w:rsidR="00AB4F32" w:rsidRPr="009F6806" w:rsidRDefault="00AB4F32" w:rsidP="006F5E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Anul</w:t>
            </w:r>
          </w:p>
          <w:p w:rsidR="00AB4F32" w:rsidRPr="009F6806" w:rsidRDefault="00AB4F32" w:rsidP="006F5E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curent</w:t>
            </w:r>
          </w:p>
        </w:tc>
        <w:tc>
          <w:tcPr>
            <w:tcW w:w="4042" w:type="dxa"/>
            <w:gridSpan w:val="5"/>
          </w:tcPr>
          <w:p w:rsidR="00AB4F32" w:rsidRPr="009F6806" w:rsidRDefault="00AB4F32" w:rsidP="006F5E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Următorii</w:t>
            </w:r>
          </w:p>
          <w:p w:rsidR="00AB4F32" w:rsidRPr="009F6806" w:rsidRDefault="00AB4F32" w:rsidP="006F5E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 ani</w:t>
            </w:r>
          </w:p>
        </w:tc>
        <w:tc>
          <w:tcPr>
            <w:tcW w:w="1140" w:type="dxa"/>
          </w:tcPr>
          <w:p w:rsidR="00AB4F32" w:rsidRPr="009F6806" w:rsidRDefault="00AB4F32" w:rsidP="006F5E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Media</w:t>
            </w:r>
          </w:p>
          <w:p w:rsidR="00AB4F32" w:rsidRPr="009F6806" w:rsidRDefault="00AB4F32" w:rsidP="006F5EF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pe 5 ani</w:t>
            </w:r>
          </w:p>
        </w:tc>
      </w:tr>
      <w:tr w:rsidR="009F6806" w:rsidRPr="009F6806" w:rsidTr="00DB0EAB">
        <w:trPr>
          <w:trHeight w:val="170"/>
        </w:trPr>
        <w:tc>
          <w:tcPr>
            <w:tcW w:w="4478" w:type="dxa"/>
            <w:gridSpan w:val="3"/>
          </w:tcPr>
          <w:p w:rsidR="00AB4F32" w:rsidRPr="009F6806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900" w:type="dxa"/>
            <w:gridSpan w:val="2"/>
          </w:tcPr>
          <w:p w:rsidR="00AB4F32" w:rsidRPr="009F6806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1072" w:type="dxa"/>
          </w:tcPr>
          <w:p w:rsidR="00AB4F32" w:rsidRPr="009F6806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  <w:gridSpan w:val="2"/>
          </w:tcPr>
          <w:p w:rsidR="00AB4F32" w:rsidRPr="009F6806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990" w:type="dxa"/>
          </w:tcPr>
          <w:p w:rsidR="00AB4F32" w:rsidRPr="009F6806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990" w:type="dxa"/>
          </w:tcPr>
          <w:p w:rsidR="00AB4F32" w:rsidRPr="009F6806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1140" w:type="dxa"/>
          </w:tcPr>
          <w:p w:rsidR="00AB4F32" w:rsidRPr="009F6806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gridSpan w:val="2"/>
          </w:tcPr>
          <w:p w:rsidR="00AB4F32" w:rsidRPr="009F6806" w:rsidRDefault="00CB0BA8" w:rsidP="00CB0BA8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072" w:type="dxa"/>
          </w:tcPr>
          <w:p w:rsidR="00AB4F32" w:rsidRPr="009F6806" w:rsidRDefault="00AB4F32" w:rsidP="00386A2B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  <w:r w:rsidR="00CB0BA8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21</w:t>
            </w:r>
          </w:p>
        </w:tc>
        <w:tc>
          <w:tcPr>
            <w:tcW w:w="990" w:type="dxa"/>
            <w:gridSpan w:val="2"/>
          </w:tcPr>
          <w:p w:rsidR="00AB4F32" w:rsidRPr="009F6806" w:rsidRDefault="00AB4F32" w:rsidP="00CB0BA8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  <w:r w:rsidR="0047632F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  <w:r w:rsidR="00CB0BA8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990" w:type="dxa"/>
          </w:tcPr>
          <w:p w:rsidR="00AB4F32" w:rsidRPr="009F6806" w:rsidRDefault="00AB4F32" w:rsidP="00CB0BA8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  <w:r w:rsidR="004B0D7A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  <w:r w:rsidR="00CB0BA8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</w:tcPr>
          <w:p w:rsidR="00AB4F32" w:rsidRPr="009F6806" w:rsidRDefault="00AB4F32" w:rsidP="00CB0BA8">
            <w:pPr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20</w:t>
            </w:r>
            <w:r w:rsidR="004B0D7A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</w:t>
            </w:r>
            <w:r w:rsidR="00CB0BA8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1140" w:type="dxa"/>
          </w:tcPr>
          <w:p w:rsidR="00AB4F32" w:rsidRPr="009F6806" w:rsidRDefault="00AB4F32" w:rsidP="006F5EF3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9F6806" w:rsidRPr="009F6806" w:rsidTr="00DB0EAB">
        <w:trPr>
          <w:trHeight w:val="330"/>
        </w:trPr>
        <w:tc>
          <w:tcPr>
            <w:tcW w:w="4478" w:type="dxa"/>
            <w:gridSpan w:val="3"/>
            <w:vMerge w:val="restart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Modificări ale veniturilor bugetare, plus/minus, din care:</w:t>
            </w:r>
          </w:p>
          <w:p w:rsidR="00AB4F32" w:rsidRPr="009F6806" w:rsidRDefault="00AB4F32" w:rsidP="00AB4F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stat, din acesta:</w:t>
            </w:r>
          </w:p>
          <w:p w:rsidR="00AB4F32" w:rsidRPr="009F6806" w:rsidRDefault="00AB4F32" w:rsidP="00AB4F32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ind w:left="360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profit</w:t>
            </w:r>
          </w:p>
          <w:p w:rsidR="00AB4F32" w:rsidRPr="009F6806" w:rsidRDefault="00AB4F32" w:rsidP="00AB4F32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venit</w:t>
            </w:r>
          </w:p>
          <w:p w:rsidR="00AB4F32" w:rsidRPr="009F6806" w:rsidRDefault="00AB4F32" w:rsidP="00AB4F3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 locale:</w:t>
            </w:r>
          </w:p>
          <w:p w:rsidR="00AB4F32" w:rsidRPr="009F6806" w:rsidRDefault="00AB4F32" w:rsidP="00AB4F32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impozit pe profit</w:t>
            </w:r>
          </w:p>
          <w:p w:rsidR="00AB4F32" w:rsidRPr="009F6806" w:rsidRDefault="00AB4F32" w:rsidP="00AB4F32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bugetul asigurărilor sociale de stat:</w:t>
            </w:r>
          </w:p>
          <w:p w:rsidR="00AB4F32" w:rsidRPr="009F6806" w:rsidRDefault="00AB4F32" w:rsidP="00AB4F32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contribuţii de asigurări</w:t>
            </w:r>
          </w:p>
        </w:tc>
        <w:tc>
          <w:tcPr>
            <w:tcW w:w="892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rPr>
          <w:trHeight w:val="324"/>
        </w:trPr>
        <w:tc>
          <w:tcPr>
            <w:tcW w:w="4478" w:type="dxa"/>
            <w:gridSpan w:val="3"/>
            <w:vMerge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140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rPr>
          <w:trHeight w:val="451"/>
        </w:trPr>
        <w:tc>
          <w:tcPr>
            <w:tcW w:w="4478" w:type="dxa"/>
            <w:gridSpan w:val="3"/>
            <w:vMerge w:val="restart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Modificări ale cheltuielilor bugetare plus/minus, din care:</w:t>
            </w:r>
          </w:p>
          <w:p w:rsidR="00AB4F32" w:rsidRPr="009F6806" w:rsidRDefault="00AB4F32" w:rsidP="00AB4F3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</w:t>
            </w:r>
          </w:p>
          <w:p w:rsidR="00AB4F32" w:rsidRPr="009F6806" w:rsidRDefault="00AB4F32" w:rsidP="00AB4F32">
            <w:pPr>
              <w:numPr>
                <w:ilvl w:val="1"/>
                <w:numId w:val="6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credit extern</w:t>
            </w:r>
          </w:p>
          <w:p w:rsidR="00AB4F32" w:rsidRPr="009F6806" w:rsidRDefault="00AB4F32" w:rsidP="00AB4F32">
            <w:pPr>
              <w:numPr>
                <w:ilvl w:val="1"/>
                <w:numId w:val="7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surse proprii</w:t>
            </w:r>
          </w:p>
        </w:tc>
        <w:tc>
          <w:tcPr>
            <w:tcW w:w="892" w:type="dxa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80" w:type="dxa"/>
            <w:gridSpan w:val="2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 </w:t>
            </w:r>
          </w:p>
        </w:tc>
        <w:tc>
          <w:tcPr>
            <w:tcW w:w="990" w:type="dxa"/>
            <w:gridSpan w:val="2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40" w:type="dxa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    -</w:t>
            </w:r>
          </w:p>
        </w:tc>
      </w:tr>
      <w:tr w:rsidR="009F6806" w:rsidRPr="009F6806" w:rsidTr="00DB0EAB">
        <w:trPr>
          <w:trHeight w:val="348"/>
        </w:trPr>
        <w:tc>
          <w:tcPr>
            <w:tcW w:w="4478" w:type="dxa"/>
            <w:gridSpan w:val="3"/>
            <w:vMerge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80" w:type="dxa"/>
            <w:gridSpan w:val="2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  <w:gridSpan w:val="2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40" w:type="dxa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9F6806" w:rsidRPr="009F6806" w:rsidTr="00DB0EAB">
        <w:trPr>
          <w:trHeight w:val="292"/>
        </w:trPr>
        <w:tc>
          <w:tcPr>
            <w:tcW w:w="4478" w:type="dxa"/>
            <w:gridSpan w:val="3"/>
            <w:vMerge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80" w:type="dxa"/>
            <w:gridSpan w:val="2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  <w:gridSpan w:val="2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40" w:type="dxa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9F6806" w:rsidRPr="009F6806" w:rsidTr="00DB0EAB">
        <w:trPr>
          <w:trHeight w:val="285"/>
        </w:trPr>
        <w:tc>
          <w:tcPr>
            <w:tcW w:w="4478" w:type="dxa"/>
            <w:gridSpan w:val="3"/>
            <w:vMerge w:val="restart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3. Impact financiar, plus/minus, din care:</w:t>
            </w:r>
          </w:p>
          <w:p w:rsidR="00AB4F32" w:rsidRPr="009F6806" w:rsidRDefault="00AB4F32" w:rsidP="00AB4F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 de stat</w:t>
            </w:r>
          </w:p>
          <w:p w:rsidR="00AB4F32" w:rsidRPr="009F6806" w:rsidRDefault="00AB4F32" w:rsidP="00AB4F3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bugete locale</w:t>
            </w:r>
          </w:p>
        </w:tc>
        <w:tc>
          <w:tcPr>
            <w:tcW w:w="892" w:type="dxa"/>
          </w:tcPr>
          <w:p w:rsidR="00AB4F32" w:rsidRPr="009F6806" w:rsidRDefault="00AB4F32" w:rsidP="006F5EF3">
            <w:pPr>
              <w:ind w:left="-108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 -</w:t>
            </w:r>
          </w:p>
          <w:p w:rsidR="00AB4F32" w:rsidRPr="009F6806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gridSpan w:val="2"/>
          </w:tcPr>
          <w:p w:rsidR="00AB4F32" w:rsidRPr="009F6806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  <w:gridSpan w:val="2"/>
          </w:tcPr>
          <w:p w:rsidR="00AB4F32" w:rsidRPr="009F6806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9F6806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9F6806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40" w:type="dxa"/>
          </w:tcPr>
          <w:p w:rsidR="00AB4F32" w:rsidRPr="009F6806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9F6806" w:rsidRPr="009F6806" w:rsidTr="00DB0EAB">
        <w:trPr>
          <w:trHeight w:val="432"/>
        </w:trPr>
        <w:tc>
          <w:tcPr>
            <w:tcW w:w="4478" w:type="dxa"/>
            <w:gridSpan w:val="3"/>
            <w:vMerge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AB4F32" w:rsidRPr="009F6806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80" w:type="dxa"/>
            <w:gridSpan w:val="2"/>
          </w:tcPr>
          <w:p w:rsidR="00AB4F32" w:rsidRPr="009F6806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74" w:type="dxa"/>
          </w:tcPr>
          <w:p w:rsidR="00AB4F32" w:rsidRPr="009F6806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006" w:type="dxa"/>
            <w:gridSpan w:val="2"/>
          </w:tcPr>
          <w:p w:rsidR="00AB4F32" w:rsidRPr="009F6806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990" w:type="dxa"/>
          </w:tcPr>
          <w:p w:rsidR="00AB4F32" w:rsidRPr="009F6806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  <w:tc>
          <w:tcPr>
            <w:tcW w:w="1140" w:type="dxa"/>
          </w:tcPr>
          <w:p w:rsidR="00AB4F32" w:rsidRPr="009F6806" w:rsidDel="005D215F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-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 Propuneri pentru acoperirea creşterii cheltuielilor bugetare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- 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Propuneri pentru a compensa reducerea veniturilor bugetare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7. Alte informaţii</w:t>
            </w:r>
          </w:p>
        </w:tc>
        <w:tc>
          <w:tcPr>
            <w:tcW w:w="6082" w:type="dxa"/>
            <w:gridSpan w:val="8"/>
          </w:tcPr>
          <w:p w:rsidR="00AB4F32" w:rsidRPr="009F6806" w:rsidRDefault="00FF2C5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  <w:tr w:rsidR="009F6806" w:rsidRPr="009F6806" w:rsidTr="00DB0EAB">
        <w:trPr>
          <w:trHeight w:val="401"/>
        </w:trPr>
        <w:tc>
          <w:tcPr>
            <w:tcW w:w="10560" w:type="dxa"/>
            <w:gridSpan w:val="11"/>
          </w:tcPr>
          <w:p w:rsidR="00A96FEF" w:rsidRPr="009F6806" w:rsidRDefault="00A96FEF" w:rsidP="00A96FEF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4A3385" w:rsidRPr="009F6806" w:rsidRDefault="004A3385" w:rsidP="00A96FEF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A96FEF" w:rsidRPr="009F6806" w:rsidRDefault="00AB4F32" w:rsidP="00D40FE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5-a: Efectele proiectului de act normativ asupra legislaţiei în vigoare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1.Măsuri normative necesare pentru aplicarea prevederilor proiectului de act normativ:</w:t>
            </w:r>
          </w:p>
          <w:p w:rsidR="00AB4F32" w:rsidRPr="009F6806" w:rsidRDefault="00AB4F32" w:rsidP="006F5EF3">
            <w:pPr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a) acte normative în vigoare ce vor fi modificate sau abrogate, ca urmare a intrării în vigoare a proiectului de act normativ; </w:t>
            </w:r>
          </w:p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b) acte normative ce urmează a fi elaborate în vederea implementării noilor dispoziţii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ar-SA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  <w:lang w:val="ro-RO"/>
              </w:rPr>
              <w:t xml:space="preserve">1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bidi="ar-SA"/>
              </w:rPr>
              <w:t>Compatibilitatea proiectului de act normativ cu legislaţia în domeniul achiziţiilor publice:</w:t>
            </w:r>
          </w:p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ar-SA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bidi="ar-SA"/>
              </w:rPr>
              <w:t>a) impact legislativ - prevederi de modificare şi completare a cadrului normativ în domeniul achiziţiilor publice, prevederi derogatorii;</w:t>
            </w:r>
          </w:p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bidi="ar-SA"/>
              </w:rPr>
              <w:t xml:space="preserve">    b) </w:t>
            </w:r>
            <w:proofErr w:type="gramStart"/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bidi="ar-SA"/>
              </w:rPr>
              <w:t>norme</w:t>
            </w:r>
            <w:proofErr w:type="gramEnd"/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bidi="ar-SA"/>
              </w:rPr>
              <w:t xml:space="preserve"> cu impact la nivel operaţional/tehnic - sisteme electronice utilizate în desfăşurarea procedurilor de achiziţie publică, unităţi centralizate de achiziţii publice, structură organizatorică internă a autorităţilor contractante</w:t>
            </w:r>
            <w:r w:rsidRPr="009F6806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Compatibilitatea proiectului de act normativ cu legislaţia comunitară în materie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Măsuri normative necesare aplicării directe a actelor normative comunitare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 Hotărâri ale Curţii Europene de Justiţie a Uniunii Europene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Proiectul de act normativ nu se referă la acest subiect. 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6. Alte informaţi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  <w:tr w:rsidR="009F6806" w:rsidRPr="009F6806" w:rsidTr="004A3385">
        <w:trPr>
          <w:trHeight w:val="964"/>
        </w:trPr>
        <w:tc>
          <w:tcPr>
            <w:tcW w:w="10560" w:type="dxa"/>
            <w:gridSpan w:val="11"/>
          </w:tcPr>
          <w:p w:rsidR="004A3385" w:rsidRPr="009F6806" w:rsidRDefault="004A3385" w:rsidP="00D40FE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A96FEF" w:rsidRPr="009F6806" w:rsidRDefault="00AB4F32" w:rsidP="00D40FE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6-a: Consultările efectuate în vederea elaborării proiectului de act normativ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2. Fundamentarea alegerii organizaţiilor cu care a avut loc consultarea, precum şi a modului în care activitatea acestor </w:t>
            </w: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organizaţii este legată de obiectul proiectului de act normativ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Proiectul de act normativ nu se referă la acest subiect.</w:t>
            </w:r>
          </w:p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4. Consultările desfăşurate în cadrul consiliilor interministeriale, în conformitate cu prevederile Hotărârii Guvernului nr.</w:t>
            </w:r>
          </w:p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 750/2005 privind constituirea consiliilor interministeriale permanente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Acest proiect nu este supus consultărilor comisiilor interministeriale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5. Informaţii privind avizarea către:</w:t>
            </w:r>
          </w:p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a) Consiliul Legislativ</w:t>
            </w:r>
          </w:p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b) Consiliul Suprem de Apărare a Ţării</w:t>
            </w:r>
          </w:p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c) Consiliul Economic şi Social</w:t>
            </w:r>
          </w:p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d) Consiliul Concurenţei</w:t>
            </w:r>
          </w:p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e) Curtea de Conturi</w:t>
            </w:r>
          </w:p>
        </w:tc>
        <w:tc>
          <w:tcPr>
            <w:tcW w:w="6082" w:type="dxa"/>
            <w:gridSpan w:val="8"/>
          </w:tcPr>
          <w:p w:rsidR="00FF2C52" w:rsidRPr="009F6806" w:rsidRDefault="00FF2C5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nu se referă la acest subiect.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6. Alte informaţii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identificate.</w:t>
            </w:r>
          </w:p>
        </w:tc>
      </w:tr>
      <w:tr w:rsidR="009F6806" w:rsidRPr="009F6806" w:rsidTr="00DB0EAB">
        <w:tc>
          <w:tcPr>
            <w:tcW w:w="10560" w:type="dxa"/>
            <w:gridSpan w:val="11"/>
          </w:tcPr>
          <w:p w:rsidR="004A3385" w:rsidRPr="009F6806" w:rsidRDefault="004A3385" w:rsidP="004A33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4A3385" w:rsidRPr="009F6806" w:rsidRDefault="00AB4F32" w:rsidP="00D40F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7-a: Activităţi de informare publică privind elaborarea şi implementarea proiectului de act normativ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ind w:left="-69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1. Informarea societăţii civile cu </w:t>
            </w:r>
          </w:p>
          <w:p w:rsidR="00AB4F32" w:rsidRPr="009F6806" w:rsidRDefault="00AB4F32" w:rsidP="006F5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privire la necesitatea elaborării proiectului de act normativ</w:t>
            </w:r>
          </w:p>
        </w:tc>
        <w:tc>
          <w:tcPr>
            <w:tcW w:w="6082" w:type="dxa"/>
            <w:gridSpan w:val="8"/>
          </w:tcPr>
          <w:p w:rsidR="00B53353" w:rsidRPr="009F6806" w:rsidRDefault="00710EE5" w:rsidP="00B5335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Prezentul proiect de act normativ este supus procedurii prevăzute de Legea nr. 52/2003 privind transparenţa decizională în administraţia publică, republicată, cu modificările ulterioare.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3. Alte informaţii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  <w:tr w:rsidR="009F6806" w:rsidRPr="009F6806" w:rsidTr="00DB0EAB">
        <w:trPr>
          <w:trHeight w:val="269"/>
        </w:trPr>
        <w:tc>
          <w:tcPr>
            <w:tcW w:w="10560" w:type="dxa"/>
            <w:gridSpan w:val="11"/>
          </w:tcPr>
          <w:p w:rsidR="004A3385" w:rsidRPr="009F6806" w:rsidRDefault="004A3385" w:rsidP="004A33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4A3385" w:rsidRPr="009F6806" w:rsidRDefault="00AB4F32" w:rsidP="00D40F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Secţiunea a 8-a: Măsuri de implementare</w:t>
            </w:r>
          </w:p>
        </w:tc>
      </w:tr>
      <w:tr w:rsidR="009F6806" w:rsidRPr="009F6806" w:rsidTr="00DB0EAB">
        <w:tc>
          <w:tcPr>
            <w:tcW w:w="4478" w:type="dxa"/>
            <w:gridSpan w:val="3"/>
          </w:tcPr>
          <w:p w:rsidR="00AB4F32" w:rsidRPr="009F6806" w:rsidRDefault="00ED3A35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 xml:space="preserve">1. Măsurile </w:t>
            </w:r>
            <w:r w:rsidR="00AB4F32"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de punere în aplicare a proiectului de act normativ de către  autorităţile administraţiei publice centrale şi/sau locale – înfiinţarea unor noi organisme sau extinderea competenţelor instituţiilor existente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Proiectul de act normativ nu se referă la acest subiect.</w:t>
            </w:r>
          </w:p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</w:p>
        </w:tc>
      </w:tr>
      <w:tr w:rsidR="00AB4F32" w:rsidRPr="009F6806" w:rsidTr="00DB0EAB">
        <w:tc>
          <w:tcPr>
            <w:tcW w:w="4478" w:type="dxa"/>
            <w:gridSpan w:val="3"/>
          </w:tcPr>
          <w:p w:rsidR="00AB4F32" w:rsidRPr="009F6806" w:rsidRDefault="00AB4F32" w:rsidP="006F5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2. Alte informaţii</w:t>
            </w:r>
          </w:p>
        </w:tc>
        <w:tc>
          <w:tcPr>
            <w:tcW w:w="6082" w:type="dxa"/>
            <w:gridSpan w:val="8"/>
          </w:tcPr>
          <w:p w:rsidR="00AB4F32" w:rsidRPr="009F6806" w:rsidRDefault="00AB4F32" w:rsidP="006F5EF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color w:val="auto"/>
                <w:sz w:val="24"/>
                <w:szCs w:val="24"/>
                <w:lang w:val="ro-RO"/>
              </w:rPr>
              <w:t>Nu au fost identificate</w:t>
            </w:r>
          </w:p>
        </w:tc>
      </w:tr>
    </w:tbl>
    <w:p w:rsidR="004E4599" w:rsidRPr="009F6806" w:rsidRDefault="004E4599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F42400" w:rsidRPr="009F6806" w:rsidRDefault="00F4240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F42400" w:rsidRPr="009F6806" w:rsidRDefault="00F4240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F42400" w:rsidRPr="009F6806" w:rsidRDefault="00F4240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F42400" w:rsidRPr="009F6806" w:rsidRDefault="00F4240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F42400" w:rsidRPr="009F6806" w:rsidRDefault="00F42400" w:rsidP="004E4599">
      <w:pPr>
        <w:ind w:left="-142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460EFF" w:rsidRPr="009F6806" w:rsidRDefault="00460EFF" w:rsidP="00540DEE">
      <w:pPr>
        <w:ind w:firstLine="720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AB4F32" w:rsidRPr="009F6806" w:rsidRDefault="00D101D9" w:rsidP="00540DEE">
      <w:pPr>
        <w:ind w:firstLine="720"/>
        <w:jc w:val="both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r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lastRenderedPageBreak/>
        <w:t>P</w:t>
      </w:r>
      <w:r w:rsidR="00AB4F32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entru considerentele de mai sus, am elaborat proiectul de Hotărâre a Guvernului </w:t>
      </w:r>
      <w:r w:rsidR="009F0805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>privind</w:t>
      </w:r>
      <w:r w:rsidR="00F616EB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aprobarea </w:t>
      </w:r>
      <w:r w:rsidR="00540DEE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ocupării temporare </w:t>
      </w:r>
      <w:r w:rsidR="00EC3C4C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a terenului în suprafaţă de 2,0083 ha </w:t>
      </w:r>
      <w:r w:rsidR="00540DEE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>din fondul forestier naţional, de către Societatea Națională de Transport Gaze Naturale ”Transgaz” SA</w:t>
      </w:r>
      <w:r w:rsidR="00EC3C4C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>,</w:t>
      </w:r>
      <w:r w:rsidR="00540DEE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pentru proiectul de </w:t>
      </w:r>
      <w:r w:rsidR="00EC3C4C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>importanţă naţională</w:t>
      </w:r>
      <w:r w:rsidR="00540DEE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 în domeniul gazelor naturale </w:t>
      </w:r>
      <w:r w:rsidR="00CE4093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>„</w:t>
      </w:r>
      <w:r w:rsidR="00710EE5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>Conductă de transport gaze naturale Țărmul Mării Negre – Podișor”</w:t>
      </w:r>
      <w:r w:rsidR="00540DEE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 xml:space="preserve">, </w:t>
      </w:r>
      <w:r w:rsidR="00AB4F32" w:rsidRPr="009F6806">
        <w:rPr>
          <w:rFonts w:ascii="Times New Roman" w:hAnsi="Times New Roman"/>
          <w:b/>
          <w:color w:val="auto"/>
          <w:sz w:val="24"/>
          <w:szCs w:val="24"/>
          <w:lang w:val="ro-RO"/>
        </w:rPr>
        <w:t>care în forma prezentată a fost avizat de către ministerele interesate, pe care îl supunem spre adoptare.</w:t>
      </w:r>
    </w:p>
    <w:p w:rsidR="00AB4F32" w:rsidRPr="009F6806" w:rsidRDefault="00AB4F32" w:rsidP="00AB4F32">
      <w:pPr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76"/>
      </w:tblGrid>
      <w:tr w:rsidR="009F6806" w:rsidRPr="009F6806" w:rsidTr="006F5EF3">
        <w:tc>
          <w:tcPr>
            <w:tcW w:w="10476" w:type="dxa"/>
          </w:tcPr>
          <w:p w:rsidR="005A6E29" w:rsidRPr="009F6806" w:rsidRDefault="005A6E29" w:rsidP="00FC2EBC">
            <w:pPr>
              <w:spacing w:before="209" w:after="10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  <w:p w:rsidR="00AB4F32" w:rsidRPr="009F6806" w:rsidRDefault="00AB4F32" w:rsidP="00FC2EBC">
            <w:pPr>
              <w:spacing w:before="209" w:after="10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MINISTRUL</w:t>
            </w:r>
            <w:r w:rsidR="007C5629"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 </w:t>
            </w:r>
            <w:r w:rsidR="00B53353"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 xml:space="preserve">MEDIULUI, </w:t>
            </w: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APELOR ŞI PĂDURILOR</w:t>
            </w:r>
          </w:p>
        </w:tc>
      </w:tr>
      <w:tr w:rsidR="00AB4F32" w:rsidRPr="009F6806" w:rsidTr="006F5EF3">
        <w:tc>
          <w:tcPr>
            <w:tcW w:w="10476" w:type="dxa"/>
          </w:tcPr>
          <w:p w:rsidR="00AC6B6D" w:rsidRPr="009F6806" w:rsidRDefault="00436369" w:rsidP="00AC6B6D">
            <w:pPr>
              <w:spacing w:before="209" w:after="10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  <w:r w:rsidRPr="009F6806"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  <w:t>Costel ALEXE</w:t>
            </w:r>
          </w:p>
          <w:p w:rsidR="00AB4F32" w:rsidRPr="009F6806" w:rsidRDefault="00AB4F32" w:rsidP="00AC6B6D">
            <w:pPr>
              <w:spacing w:before="209" w:after="10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ro-RO"/>
              </w:rPr>
            </w:pPr>
          </w:p>
        </w:tc>
      </w:tr>
    </w:tbl>
    <w:p w:rsidR="00551D7E" w:rsidRPr="009F6806" w:rsidRDefault="00551D7E" w:rsidP="00AB4F32">
      <w:pPr>
        <w:jc w:val="center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CF48D8" w:rsidRPr="009F6806" w:rsidRDefault="00CF48D8" w:rsidP="00AB4F32">
      <w:pPr>
        <w:jc w:val="center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305368" w:rsidRPr="009F6806" w:rsidRDefault="00AB4F32" w:rsidP="00A26BF6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auto"/>
          <w:szCs w:val="22"/>
          <w:u w:val="single"/>
          <w:lang w:val="ro-RO"/>
        </w:rPr>
      </w:pPr>
      <w:r w:rsidRPr="009F6806">
        <w:rPr>
          <w:rFonts w:ascii="Times New Roman" w:hAnsi="Times New Roman"/>
          <w:b/>
          <w:color w:val="auto"/>
          <w:szCs w:val="22"/>
          <w:u w:val="single"/>
          <w:lang w:val="ro-RO"/>
        </w:rPr>
        <w:t>Avizăm favorabil:</w:t>
      </w:r>
    </w:p>
    <w:p w:rsidR="00370C58" w:rsidRPr="009F6806" w:rsidRDefault="00370C58" w:rsidP="00A26BF6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auto"/>
          <w:szCs w:val="22"/>
          <w:lang w:val="ro-RO"/>
        </w:rPr>
      </w:pPr>
    </w:p>
    <w:p w:rsidR="00CF48D8" w:rsidRPr="009F6806" w:rsidRDefault="00CF48D8" w:rsidP="00A26BF6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auto"/>
          <w:szCs w:val="22"/>
          <w:lang w:val="ro-RO"/>
        </w:rPr>
      </w:pPr>
    </w:p>
    <w:p w:rsidR="00A26BF6" w:rsidRPr="009F6806" w:rsidRDefault="00A26BF6" w:rsidP="00A26BF6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auto"/>
          <w:szCs w:val="22"/>
          <w:lang w:val="ro-RO"/>
        </w:rPr>
      </w:pPr>
    </w:p>
    <w:p w:rsidR="00224C92" w:rsidRPr="009F6806" w:rsidRDefault="00141EB5" w:rsidP="00224C92">
      <w:pPr>
        <w:spacing w:line="360" w:lineRule="auto"/>
        <w:ind w:right="-230"/>
        <w:rPr>
          <w:rFonts w:ascii="Times New Roman" w:hAnsi="Times New Roman"/>
          <w:b/>
          <w:color w:val="auto"/>
          <w:szCs w:val="22"/>
          <w:lang w:val="ro-RO"/>
        </w:rPr>
      </w:pPr>
      <w:r w:rsidRPr="009F6806">
        <w:rPr>
          <w:rFonts w:ascii="Times New Roman" w:hAnsi="Times New Roman"/>
          <w:b/>
          <w:color w:val="auto"/>
          <w:szCs w:val="22"/>
          <w:lang w:val="ro-RO"/>
        </w:rPr>
        <w:t xml:space="preserve">MINISTRUL </w:t>
      </w:r>
      <w:r w:rsidR="00436369" w:rsidRPr="009F6806">
        <w:rPr>
          <w:rFonts w:ascii="Times New Roman" w:hAnsi="Times New Roman"/>
          <w:b/>
          <w:color w:val="auto"/>
          <w:szCs w:val="22"/>
          <w:lang w:val="ro-RO"/>
        </w:rPr>
        <w:t xml:space="preserve">ECONOMIEI, </w:t>
      </w:r>
      <w:r w:rsidRPr="009F6806">
        <w:rPr>
          <w:rFonts w:ascii="Times New Roman" w:hAnsi="Times New Roman"/>
          <w:b/>
          <w:color w:val="auto"/>
          <w:szCs w:val="22"/>
          <w:lang w:val="ro-RO"/>
        </w:rPr>
        <w:t>ENERGIEI</w:t>
      </w:r>
      <w:r w:rsidR="009E07E8" w:rsidRPr="009F6806">
        <w:rPr>
          <w:rFonts w:ascii="Trebuchet MS" w:hAnsi="Trebuchet MS"/>
          <w:color w:val="auto"/>
          <w:sz w:val="15"/>
          <w:szCs w:val="15"/>
          <w:shd w:val="clear" w:color="auto" w:fill="FFFFFF"/>
        </w:rPr>
        <w:t xml:space="preserve"> </w:t>
      </w:r>
      <w:r w:rsidR="009E07E8" w:rsidRPr="009F6806">
        <w:rPr>
          <w:rFonts w:ascii="Trebuchet MS" w:hAnsi="Trebuchet MS"/>
          <w:color w:val="auto"/>
          <w:sz w:val="15"/>
          <w:szCs w:val="15"/>
          <w:shd w:val="clear" w:color="auto" w:fill="FFFFFF"/>
        </w:rPr>
        <w:tab/>
      </w:r>
      <w:r w:rsidR="009E07E8" w:rsidRPr="009F6806">
        <w:rPr>
          <w:rFonts w:ascii="Trebuchet MS" w:hAnsi="Trebuchet MS"/>
          <w:color w:val="auto"/>
          <w:sz w:val="15"/>
          <w:szCs w:val="15"/>
          <w:shd w:val="clear" w:color="auto" w:fill="FFFFFF"/>
        </w:rPr>
        <w:tab/>
      </w:r>
      <w:r w:rsidR="009E07E8" w:rsidRPr="009F6806">
        <w:rPr>
          <w:rFonts w:ascii="Trebuchet MS" w:hAnsi="Trebuchet MS"/>
          <w:color w:val="auto"/>
          <w:sz w:val="15"/>
          <w:szCs w:val="15"/>
          <w:shd w:val="clear" w:color="auto" w:fill="FFFFFF"/>
        </w:rPr>
        <w:tab/>
      </w:r>
      <w:r w:rsidR="009E07E8" w:rsidRPr="009F6806">
        <w:rPr>
          <w:rFonts w:ascii="Times New Roman" w:hAnsi="Times New Roman"/>
          <w:b/>
          <w:color w:val="auto"/>
          <w:szCs w:val="22"/>
          <w:lang w:val="ro-RO"/>
        </w:rPr>
        <w:t xml:space="preserve">MINISTRUL LUCRĂRILOR PUBLICE, </w:t>
      </w:r>
    </w:p>
    <w:p w:rsidR="001046F6" w:rsidRPr="009F6806" w:rsidRDefault="00224C92" w:rsidP="00224C92">
      <w:pPr>
        <w:spacing w:line="360" w:lineRule="auto"/>
        <w:ind w:right="-230"/>
        <w:rPr>
          <w:rFonts w:ascii="Times New Roman" w:hAnsi="Times New Roman"/>
          <w:b/>
          <w:color w:val="auto"/>
          <w:szCs w:val="22"/>
          <w:lang w:val="ro-RO"/>
        </w:rPr>
      </w:pPr>
      <w:r w:rsidRPr="009F6806">
        <w:rPr>
          <w:rFonts w:ascii="Times New Roman" w:hAnsi="Times New Roman"/>
          <w:b/>
          <w:color w:val="auto"/>
          <w:szCs w:val="22"/>
          <w:lang w:val="ro-RO"/>
        </w:rPr>
        <w:t xml:space="preserve">       </w:t>
      </w:r>
      <w:r w:rsidR="00436369" w:rsidRPr="009F6806">
        <w:rPr>
          <w:rFonts w:ascii="Times New Roman" w:hAnsi="Times New Roman"/>
          <w:b/>
          <w:color w:val="auto"/>
          <w:szCs w:val="22"/>
          <w:lang w:val="ro-RO"/>
        </w:rPr>
        <w:t xml:space="preserve"> ȘI MEDIULUI DE AFACERI</w:t>
      </w:r>
      <w:r w:rsidR="00141EB5"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="009E07E8"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="009E07E8"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="009E07E8" w:rsidRPr="009F6806">
        <w:rPr>
          <w:rFonts w:ascii="Times New Roman" w:hAnsi="Times New Roman"/>
          <w:b/>
          <w:color w:val="auto"/>
          <w:szCs w:val="22"/>
          <w:lang w:val="ro-RO"/>
        </w:rPr>
        <w:tab/>
        <w:t>DEZVOLTĂRII ŞI ADMINISTRAŢIEI</w:t>
      </w:r>
      <w:r w:rsidR="00141EB5" w:rsidRPr="009F6806">
        <w:rPr>
          <w:rFonts w:ascii="Times New Roman" w:hAnsi="Times New Roman"/>
          <w:b/>
          <w:color w:val="auto"/>
          <w:szCs w:val="22"/>
          <w:lang w:val="ro-RO"/>
        </w:rPr>
        <w:tab/>
        <w:t xml:space="preserve">     </w:t>
      </w:r>
      <w:r w:rsidR="00AD79D7"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="00AD79D7"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="00146B12" w:rsidRPr="009F6806">
        <w:rPr>
          <w:rFonts w:ascii="Times New Roman" w:hAnsi="Times New Roman"/>
          <w:b/>
          <w:color w:val="auto"/>
          <w:szCs w:val="22"/>
          <w:lang w:val="ro-RO"/>
        </w:rPr>
        <w:t xml:space="preserve">           </w:t>
      </w:r>
    </w:p>
    <w:p w:rsidR="00224C92" w:rsidRPr="009F6806" w:rsidRDefault="001046F6" w:rsidP="00224C92">
      <w:pPr>
        <w:pStyle w:val="Heading3"/>
        <w:shd w:val="clear" w:color="auto" w:fill="FFFFFF"/>
        <w:spacing w:before="0" w:beforeAutospacing="0" w:after="0" w:afterAutospacing="0"/>
        <w:textAlignment w:val="baseline"/>
      </w:pPr>
      <w:r w:rsidRPr="009F6806">
        <w:rPr>
          <w:szCs w:val="22"/>
        </w:rPr>
        <w:t xml:space="preserve">  </w:t>
      </w:r>
      <w:r w:rsidR="002574CE" w:rsidRPr="009F6806">
        <w:rPr>
          <w:szCs w:val="22"/>
        </w:rPr>
        <w:t xml:space="preserve">    </w:t>
      </w:r>
      <w:r w:rsidR="00141EB5" w:rsidRPr="009F6806">
        <w:rPr>
          <w:szCs w:val="22"/>
        </w:rPr>
        <w:t xml:space="preserve">    </w:t>
      </w:r>
      <w:hyperlink r:id="rId11" w:history="1">
        <w:r w:rsidR="00224C92" w:rsidRPr="009F6806">
          <w:rPr>
            <w:rFonts w:eastAsia="Calibri"/>
            <w:bCs w:val="0"/>
            <w:sz w:val="22"/>
            <w:szCs w:val="22"/>
            <w:lang w:eastAsia="en-US" w:bidi="en-US"/>
          </w:rPr>
          <w:t>Virgil</w:t>
        </w:r>
        <w:r w:rsidR="00BD4139" w:rsidRPr="009F6806">
          <w:rPr>
            <w:rFonts w:eastAsia="Calibri"/>
            <w:bCs w:val="0"/>
            <w:sz w:val="22"/>
            <w:szCs w:val="22"/>
            <w:lang w:eastAsia="en-US" w:bidi="en-US"/>
          </w:rPr>
          <w:t xml:space="preserve"> </w:t>
        </w:r>
        <w:r w:rsidR="00224C92" w:rsidRPr="009F6806">
          <w:rPr>
            <w:rFonts w:eastAsia="Calibri"/>
            <w:bCs w:val="0"/>
            <w:sz w:val="22"/>
            <w:szCs w:val="22"/>
            <w:lang w:eastAsia="en-US" w:bidi="en-US"/>
          </w:rPr>
          <w:t>-</w:t>
        </w:r>
        <w:r w:rsidR="00BD4139" w:rsidRPr="009F6806">
          <w:rPr>
            <w:rFonts w:eastAsia="Calibri"/>
            <w:bCs w:val="0"/>
            <w:sz w:val="22"/>
            <w:szCs w:val="22"/>
            <w:lang w:eastAsia="en-US" w:bidi="en-US"/>
          </w:rPr>
          <w:t xml:space="preserve"> </w:t>
        </w:r>
        <w:r w:rsidR="00224C92" w:rsidRPr="009F6806">
          <w:rPr>
            <w:rFonts w:eastAsia="Calibri"/>
            <w:bCs w:val="0"/>
            <w:sz w:val="22"/>
            <w:szCs w:val="22"/>
            <w:lang w:eastAsia="en-US" w:bidi="en-US"/>
          </w:rPr>
          <w:t>Daniel POPESCU</w:t>
        </w:r>
      </w:hyperlink>
      <w:r w:rsidR="009E07E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r w:rsidR="009E07E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r w:rsidR="009E07E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r w:rsidR="009E07E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r w:rsidR="009E07E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r w:rsidR="009E07E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hyperlink r:id="rId12" w:history="1">
        <w:r w:rsidR="009E07E8" w:rsidRPr="009F6806">
          <w:rPr>
            <w:rFonts w:eastAsia="Calibri"/>
            <w:bCs w:val="0"/>
            <w:sz w:val="22"/>
            <w:szCs w:val="22"/>
            <w:lang w:eastAsia="en-US" w:bidi="en-US"/>
          </w:rPr>
          <w:t>Ion ŞTEFAN</w:t>
        </w:r>
      </w:hyperlink>
    </w:p>
    <w:p w:rsidR="009E07E8" w:rsidRPr="009F6806" w:rsidRDefault="001B50D7" w:rsidP="009E07E8">
      <w:pPr>
        <w:pStyle w:val="Heading3"/>
        <w:shd w:val="clear" w:color="auto" w:fill="FFFFFF"/>
        <w:spacing w:before="0" w:beforeAutospacing="0" w:after="0" w:afterAutospacing="0"/>
        <w:textAlignment w:val="baseline"/>
      </w:pPr>
      <w:r w:rsidRPr="009F6806">
        <w:rPr>
          <w:szCs w:val="22"/>
        </w:rPr>
        <w:tab/>
      </w:r>
      <w:r w:rsidRPr="009F6806">
        <w:rPr>
          <w:szCs w:val="22"/>
        </w:rPr>
        <w:tab/>
      </w:r>
      <w:r w:rsidR="00141EB5" w:rsidRPr="009F6806">
        <w:rPr>
          <w:szCs w:val="22"/>
        </w:rPr>
        <w:tab/>
      </w:r>
      <w:r w:rsidR="00141EB5" w:rsidRPr="009F6806">
        <w:rPr>
          <w:szCs w:val="22"/>
        </w:rPr>
        <w:tab/>
      </w:r>
      <w:r w:rsidR="00AD79D7" w:rsidRPr="009F6806">
        <w:rPr>
          <w:szCs w:val="22"/>
        </w:rPr>
        <w:tab/>
      </w:r>
      <w:r w:rsidR="00224C92" w:rsidRPr="009F6806">
        <w:rPr>
          <w:b w:val="0"/>
          <w:szCs w:val="22"/>
        </w:rPr>
        <w:tab/>
      </w:r>
      <w:r w:rsidR="00224C92" w:rsidRPr="009F6806">
        <w:rPr>
          <w:b w:val="0"/>
          <w:szCs w:val="22"/>
        </w:rPr>
        <w:tab/>
      </w:r>
      <w:r w:rsidR="00224C92" w:rsidRPr="009F6806">
        <w:rPr>
          <w:b w:val="0"/>
          <w:szCs w:val="22"/>
        </w:rPr>
        <w:tab/>
      </w:r>
      <w:r w:rsidR="00224C92" w:rsidRPr="009F6806">
        <w:rPr>
          <w:b w:val="0"/>
          <w:szCs w:val="22"/>
        </w:rPr>
        <w:tab/>
      </w:r>
      <w:r w:rsidR="00224C92" w:rsidRPr="009F6806">
        <w:rPr>
          <w:b w:val="0"/>
          <w:szCs w:val="22"/>
        </w:rPr>
        <w:tab/>
      </w:r>
    </w:p>
    <w:p w:rsidR="001B50D7" w:rsidRPr="009F6806" w:rsidRDefault="001B50D7" w:rsidP="001046F6">
      <w:pPr>
        <w:spacing w:line="360" w:lineRule="auto"/>
        <w:ind w:right="-230"/>
        <w:rPr>
          <w:rFonts w:ascii="Times New Roman" w:hAnsi="Times New Roman"/>
          <w:b/>
          <w:strike/>
          <w:color w:val="auto"/>
          <w:szCs w:val="22"/>
          <w:lang w:val="ro-RO"/>
        </w:rPr>
      </w:pPr>
    </w:p>
    <w:p w:rsidR="001B50D7" w:rsidRPr="009F6806" w:rsidRDefault="001B50D7" w:rsidP="00DA3440">
      <w:pPr>
        <w:spacing w:line="360" w:lineRule="auto"/>
        <w:ind w:left="-567"/>
        <w:rPr>
          <w:rFonts w:ascii="Times New Roman" w:hAnsi="Times New Roman"/>
          <w:b/>
          <w:color w:val="auto"/>
          <w:szCs w:val="22"/>
          <w:lang w:val="ro-RO"/>
        </w:rPr>
      </w:pPr>
      <w:r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</w:p>
    <w:p w:rsidR="001A68A3" w:rsidRPr="009F6806" w:rsidRDefault="001A68A3" w:rsidP="00DA3440">
      <w:pPr>
        <w:spacing w:line="360" w:lineRule="auto"/>
        <w:ind w:left="-567"/>
        <w:rPr>
          <w:rFonts w:ascii="Times New Roman" w:hAnsi="Times New Roman"/>
          <w:b/>
          <w:color w:val="auto"/>
          <w:sz w:val="4"/>
          <w:szCs w:val="4"/>
          <w:lang w:val="ro-RO"/>
        </w:rPr>
      </w:pPr>
    </w:p>
    <w:p w:rsidR="007035DB" w:rsidRPr="009F6806" w:rsidRDefault="00CF48D8" w:rsidP="007035DB">
      <w:pPr>
        <w:tabs>
          <w:tab w:val="left" w:pos="5460"/>
        </w:tabs>
        <w:spacing w:line="360" w:lineRule="auto"/>
        <w:ind w:left="-567"/>
        <w:rPr>
          <w:rFonts w:ascii="Times New Roman" w:hAnsi="Times New Roman"/>
          <w:b/>
          <w:color w:val="auto"/>
          <w:szCs w:val="22"/>
          <w:lang w:val="ro-RO"/>
        </w:rPr>
      </w:pPr>
      <w:r w:rsidRPr="009F6806">
        <w:rPr>
          <w:rFonts w:ascii="Times New Roman" w:hAnsi="Times New Roman"/>
          <w:b/>
          <w:color w:val="auto"/>
          <w:szCs w:val="22"/>
          <w:lang w:val="ro-RO"/>
        </w:rPr>
        <w:t xml:space="preserve">          </w:t>
      </w:r>
      <w:r w:rsidRPr="009F6806">
        <w:rPr>
          <w:rFonts w:ascii="Times New Roman" w:hAnsi="Times New Roman"/>
          <w:b/>
          <w:color w:val="auto"/>
          <w:szCs w:val="22"/>
        </w:rPr>
        <w:t>MINISTRUL AFACERILOR EXTERNE</w:t>
      </w:r>
      <w:r w:rsidR="007035DB"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9F6806">
        <w:rPr>
          <w:rFonts w:ascii="Times New Roman" w:hAnsi="Times New Roman"/>
          <w:b/>
          <w:color w:val="auto"/>
          <w:szCs w:val="22"/>
          <w:lang w:val="ro-RO"/>
        </w:rPr>
        <w:t xml:space="preserve">       MINISTRUL FINANȚELOR PUBLICE</w:t>
      </w:r>
      <w:r w:rsidR="00460DFB" w:rsidRPr="009F6806">
        <w:rPr>
          <w:rFonts w:ascii="Times New Roman" w:hAnsi="Times New Roman"/>
          <w:b/>
          <w:color w:val="auto"/>
          <w:szCs w:val="22"/>
          <w:lang w:val="ro-RO"/>
        </w:rPr>
        <w:t xml:space="preserve">          </w:t>
      </w:r>
    </w:p>
    <w:p w:rsidR="007035DB" w:rsidRPr="009F6806" w:rsidRDefault="007035DB" w:rsidP="007035DB">
      <w:pPr>
        <w:tabs>
          <w:tab w:val="left" w:pos="4140"/>
        </w:tabs>
        <w:rPr>
          <w:rFonts w:ascii="Times New Roman" w:hAnsi="Times New Roman"/>
          <w:b/>
          <w:color w:val="auto"/>
          <w:szCs w:val="22"/>
          <w:lang w:val="ro-RO"/>
        </w:rPr>
      </w:pPr>
      <w:r w:rsidRPr="009F6806">
        <w:rPr>
          <w:rFonts w:ascii="Times New Roman" w:hAnsi="Times New Roman"/>
          <w:b/>
          <w:color w:val="auto"/>
          <w:szCs w:val="22"/>
          <w:lang w:val="ro-RO"/>
        </w:rPr>
        <w:t xml:space="preserve">   </w:t>
      </w:r>
      <w:r w:rsidR="00637F78" w:rsidRPr="009F6806">
        <w:rPr>
          <w:rFonts w:ascii="Times New Roman" w:hAnsi="Times New Roman"/>
          <w:b/>
          <w:color w:val="auto"/>
          <w:szCs w:val="22"/>
          <w:lang w:val="ro-RO"/>
        </w:rPr>
        <w:t xml:space="preserve">         </w:t>
      </w:r>
    </w:p>
    <w:p w:rsidR="007035DB" w:rsidRPr="009F6806" w:rsidRDefault="007035DB" w:rsidP="007035DB">
      <w:pPr>
        <w:tabs>
          <w:tab w:val="left" w:pos="6013"/>
        </w:tabs>
        <w:rPr>
          <w:rFonts w:ascii="Times New Roman" w:hAnsi="Times New Roman"/>
          <w:b/>
          <w:color w:val="auto"/>
          <w:szCs w:val="22"/>
          <w:lang w:val="ro-RO"/>
        </w:rPr>
      </w:pPr>
      <w:r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</w:p>
    <w:p w:rsidR="004F7517" w:rsidRPr="009F6806" w:rsidRDefault="00541856" w:rsidP="004F7517">
      <w:pPr>
        <w:pStyle w:val="Heading3"/>
        <w:shd w:val="clear" w:color="auto" w:fill="FFFFFF"/>
        <w:spacing w:before="0" w:beforeAutospacing="0" w:after="0" w:afterAutospacing="0"/>
        <w:textAlignment w:val="baseline"/>
      </w:pPr>
      <w:r w:rsidRPr="009F6806">
        <w:rPr>
          <w:b w:val="0"/>
          <w:sz w:val="24"/>
          <w:szCs w:val="24"/>
        </w:rPr>
        <w:t xml:space="preserve">           </w:t>
      </w:r>
      <w:hyperlink r:id="rId13" w:history="1">
        <w:r w:rsidR="004F7517" w:rsidRPr="009F6806">
          <w:rPr>
            <w:rFonts w:eastAsia="Calibri"/>
            <w:bCs w:val="0"/>
            <w:sz w:val="22"/>
            <w:szCs w:val="22"/>
            <w:lang w:eastAsia="en-US" w:bidi="en-US"/>
          </w:rPr>
          <w:t>Bogdan Lucian AURESCU</w:t>
        </w:r>
      </w:hyperlink>
      <w:r w:rsidR="00CF48D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r w:rsidR="00CF48D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r w:rsidR="00CF48D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r w:rsidR="00CF48D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r w:rsidR="00CF48D8" w:rsidRPr="009F6806">
        <w:rPr>
          <w:rFonts w:eastAsia="Calibri"/>
          <w:bCs w:val="0"/>
          <w:sz w:val="22"/>
          <w:szCs w:val="22"/>
          <w:lang w:eastAsia="en-US" w:bidi="en-US"/>
        </w:rPr>
        <w:tab/>
        <w:t xml:space="preserve">         </w:t>
      </w:r>
      <w:hyperlink r:id="rId14" w:history="1">
        <w:r w:rsidR="00CF48D8" w:rsidRPr="009F6806">
          <w:rPr>
            <w:rFonts w:eastAsia="Calibri"/>
            <w:bCs w:val="0"/>
            <w:sz w:val="22"/>
            <w:szCs w:val="22"/>
            <w:lang w:eastAsia="en-US" w:bidi="en-US"/>
          </w:rPr>
          <w:t>Vasile</w:t>
        </w:r>
        <w:r w:rsidR="00BD4139" w:rsidRPr="009F6806">
          <w:rPr>
            <w:rFonts w:eastAsia="Calibri"/>
            <w:bCs w:val="0"/>
            <w:sz w:val="22"/>
            <w:szCs w:val="22"/>
            <w:lang w:eastAsia="en-US" w:bidi="en-US"/>
          </w:rPr>
          <w:t xml:space="preserve"> </w:t>
        </w:r>
        <w:r w:rsidR="00CF48D8" w:rsidRPr="009F6806">
          <w:rPr>
            <w:rFonts w:eastAsia="Calibri"/>
            <w:bCs w:val="0"/>
            <w:sz w:val="22"/>
            <w:szCs w:val="22"/>
            <w:lang w:eastAsia="en-US" w:bidi="en-US"/>
          </w:rPr>
          <w:t>-</w:t>
        </w:r>
        <w:r w:rsidR="00BD4139" w:rsidRPr="009F6806">
          <w:rPr>
            <w:rFonts w:eastAsia="Calibri"/>
            <w:bCs w:val="0"/>
            <w:sz w:val="22"/>
            <w:szCs w:val="22"/>
            <w:lang w:eastAsia="en-US" w:bidi="en-US"/>
          </w:rPr>
          <w:t xml:space="preserve"> </w:t>
        </w:r>
        <w:r w:rsidR="00CF48D8" w:rsidRPr="009F6806">
          <w:rPr>
            <w:rFonts w:eastAsia="Calibri"/>
            <w:bCs w:val="0"/>
            <w:sz w:val="22"/>
            <w:szCs w:val="22"/>
            <w:lang w:eastAsia="en-US" w:bidi="en-US"/>
          </w:rPr>
          <w:t>Florin CÎŢU</w:t>
        </w:r>
      </w:hyperlink>
    </w:p>
    <w:p w:rsidR="007035DB" w:rsidRPr="009F6806" w:rsidRDefault="007035DB" w:rsidP="00541856">
      <w:pPr>
        <w:tabs>
          <w:tab w:val="left" w:pos="4140"/>
        </w:tabs>
        <w:rPr>
          <w:rFonts w:ascii="Times New Roman" w:hAnsi="Times New Roman"/>
          <w:b/>
          <w:color w:val="auto"/>
          <w:szCs w:val="22"/>
          <w:lang w:val="ro-RO"/>
        </w:rPr>
      </w:pPr>
    </w:p>
    <w:p w:rsidR="001A68A3" w:rsidRPr="009F6806" w:rsidRDefault="001A68A3" w:rsidP="00DA3440">
      <w:pPr>
        <w:spacing w:line="360" w:lineRule="auto"/>
        <w:ind w:left="-567"/>
        <w:rPr>
          <w:rFonts w:ascii="Times New Roman" w:hAnsi="Times New Roman"/>
          <w:b/>
          <w:color w:val="auto"/>
          <w:szCs w:val="22"/>
          <w:lang w:val="ro-RO"/>
        </w:rPr>
      </w:pPr>
    </w:p>
    <w:p w:rsidR="001A68A3" w:rsidRPr="009F6806" w:rsidRDefault="001A68A3" w:rsidP="00DA3440">
      <w:pPr>
        <w:spacing w:line="360" w:lineRule="auto"/>
        <w:ind w:left="-567"/>
        <w:rPr>
          <w:rFonts w:ascii="Times New Roman" w:hAnsi="Times New Roman"/>
          <w:b/>
          <w:color w:val="auto"/>
          <w:szCs w:val="22"/>
          <w:lang w:val="ro-RO"/>
        </w:rPr>
      </w:pPr>
    </w:p>
    <w:p w:rsidR="00366C85" w:rsidRPr="009F6806" w:rsidRDefault="00366C85" w:rsidP="00DA3440">
      <w:pPr>
        <w:spacing w:line="360" w:lineRule="auto"/>
        <w:ind w:left="-567"/>
        <w:rPr>
          <w:rFonts w:ascii="Times New Roman" w:hAnsi="Times New Roman"/>
          <w:b/>
          <w:color w:val="auto"/>
          <w:sz w:val="4"/>
          <w:szCs w:val="4"/>
          <w:lang w:val="ro-RO"/>
        </w:rPr>
      </w:pPr>
    </w:p>
    <w:p w:rsidR="0004700E" w:rsidRPr="009F6806" w:rsidRDefault="0004700E" w:rsidP="0004700E">
      <w:pPr>
        <w:spacing w:line="360" w:lineRule="auto"/>
        <w:ind w:left="-567" w:right="-230"/>
        <w:rPr>
          <w:rFonts w:ascii="Times New Roman" w:hAnsi="Times New Roman"/>
          <w:b/>
          <w:color w:val="auto"/>
          <w:sz w:val="4"/>
          <w:szCs w:val="4"/>
          <w:lang w:val="ro-RO"/>
        </w:rPr>
      </w:pPr>
    </w:p>
    <w:p w:rsidR="00CB1499" w:rsidRPr="009F6806" w:rsidRDefault="00CF48D8" w:rsidP="0004700E">
      <w:pPr>
        <w:spacing w:line="360" w:lineRule="auto"/>
        <w:ind w:left="-567" w:firstLine="567"/>
        <w:rPr>
          <w:rFonts w:ascii="Times New Roman" w:hAnsi="Times New Roman"/>
          <w:b/>
          <w:color w:val="auto"/>
          <w:szCs w:val="22"/>
          <w:lang w:val="ro-RO"/>
        </w:rPr>
      </w:pPr>
      <w:r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9F6806">
        <w:rPr>
          <w:rFonts w:ascii="Times New Roman" w:hAnsi="Times New Roman"/>
          <w:b/>
          <w:color w:val="auto"/>
          <w:szCs w:val="22"/>
          <w:lang w:val="ro-RO"/>
        </w:rPr>
        <w:tab/>
        <w:t xml:space="preserve">  </w:t>
      </w:r>
      <w:r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9F6806">
        <w:rPr>
          <w:rFonts w:ascii="Times New Roman" w:hAnsi="Times New Roman"/>
          <w:b/>
          <w:color w:val="auto"/>
          <w:szCs w:val="22"/>
          <w:lang w:val="ro-RO"/>
        </w:rPr>
        <w:tab/>
      </w:r>
      <w:r w:rsidRPr="009F6806">
        <w:rPr>
          <w:rFonts w:ascii="Times New Roman" w:hAnsi="Times New Roman"/>
          <w:b/>
          <w:color w:val="auto"/>
          <w:szCs w:val="22"/>
          <w:lang w:val="ro-RO"/>
        </w:rPr>
        <w:tab/>
        <w:t xml:space="preserve">     </w:t>
      </w:r>
      <w:r w:rsidR="00CB1499" w:rsidRPr="009F6806">
        <w:rPr>
          <w:rFonts w:ascii="Times New Roman" w:hAnsi="Times New Roman"/>
          <w:b/>
          <w:color w:val="auto"/>
          <w:szCs w:val="22"/>
          <w:lang w:val="ro-RO"/>
        </w:rPr>
        <w:t>MINISTRUL JUSTITIEI</w:t>
      </w:r>
    </w:p>
    <w:p w:rsidR="00CB1499" w:rsidRPr="009F6806" w:rsidRDefault="00CB1499" w:rsidP="00CB1499">
      <w:pPr>
        <w:spacing w:line="360" w:lineRule="auto"/>
        <w:ind w:left="-567"/>
        <w:rPr>
          <w:rFonts w:ascii="Times New Roman" w:hAnsi="Times New Roman"/>
          <w:b/>
          <w:color w:val="auto"/>
          <w:szCs w:val="22"/>
          <w:lang w:val="ro-RO"/>
        </w:rPr>
      </w:pPr>
    </w:p>
    <w:p w:rsidR="004F7517" w:rsidRPr="009F6806" w:rsidRDefault="004F7517" w:rsidP="004F7517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eastAsia="Calibri"/>
          <w:bCs w:val="0"/>
          <w:sz w:val="22"/>
          <w:szCs w:val="22"/>
          <w:lang w:eastAsia="en-US" w:bidi="en-US"/>
        </w:rPr>
      </w:pPr>
      <w:r w:rsidRPr="009F6806">
        <w:rPr>
          <w:b w:val="0"/>
          <w:szCs w:val="22"/>
        </w:rPr>
        <w:t xml:space="preserve">    </w:t>
      </w:r>
      <w:r w:rsidR="00CF48D8" w:rsidRPr="009F6806">
        <w:rPr>
          <w:b w:val="0"/>
          <w:szCs w:val="22"/>
        </w:rPr>
        <w:tab/>
      </w:r>
      <w:r w:rsidR="00CB1499" w:rsidRPr="009F6806">
        <w:rPr>
          <w:b w:val="0"/>
          <w:szCs w:val="22"/>
        </w:rPr>
        <w:tab/>
      </w:r>
      <w:r w:rsidR="00CB1499" w:rsidRPr="009F6806">
        <w:rPr>
          <w:b w:val="0"/>
          <w:szCs w:val="22"/>
        </w:rPr>
        <w:tab/>
      </w:r>
      <w:r w:rsidR="00CB1499" w:rsidRPr="009F6806">
        <w:rPr>
          <w:b w:val="0"/>
          <w:szCs w:val="22"/>
        </w:rPr>
        <w:tab/>
      </w:r>
      <w:r w:rsidR="00CB1499" w:rsidRPr="009F6806">
        <w:rPr>
          <w:rFonts w:eastAsia="Calibri"/>
          <w:bCs w:val="0"/>
          <w:sz w:val="22"/>
          <w:szCs w:val="22"/>
          <w:lang w:eastAsia="en-US" w:bidi="en-US"/>
        </w:rPr>
        <w:t xml:space="preserve"> </w:t>
      </w:r>
      <w:r w:rsidR="00CF48D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r w:rsidR="00CF48D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r w:rsidR="00CF48D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r w:rsidR="00CF48D8" w:rsidRPr="009F6806">
        <w:rPr>
          <w:rFonts w:eastAsia="Calibri"/>
          <w:bCs w:val="0"/>
          <w:sz w:val="22"/>
          <w:szCs w:val="22"/>
          <w:lang w:eastAsia="en-US" w:bidi="en-US"/>
        </w:rPr>
        <w:tab/>
      </w:r>
      <w:r w:rsidR="00CF48D8" w:rsidRPr="009F6806">
        <w:rPr>
          <w:rFonts w:eastAsia="Calibri"/>
          <w:bCs w:val="0"/>
          <w:sz w:val="22"/>
          <w:szCs w:val="22"/>
          <w:lang w:eastAsia="en-US" w:bidi="en-US"/>
        </w:rPr>
        <w:tab/>
        <w:t xml:space="preserve">     </w:t>
      </w:r>
      <w:hyperlink r:id="rId15" w:history="1">
        <w:r w:rsidRPr="009F6806">
          <w:rPr>
            <w:rFonts w:eastAsia="Calibri"/>
            <w:bCs w:val="0"/>
            <w:sz w:val="22"/>
            <w:szCs w:val="22"/>
            <w:lang w:eastAsia="en-US" w:bidi="en-US"/>
          </w:rPr>
          <w:t>Marian Cătălin PREDOIU</w:t>
        </w:r>
      </w:hyperlink>
    </w:p>
    <w:p w:rsidR="00CB1499" w:rsidRPr="009F6806" w:rsidRDefault="00CB1499" w:rsidP="00CB1499">
      <w:pPr>
        <w:spacing w:line="360" w:lineRule="auto"/>
        <w:ind w:left="-567"/>
        <w:rPr>
          <w:rFonts w:ascii="Times New Roman" w:hAnsi="Times New Roman"/>
          <w:b/>
          <w:color w:val="auto"/>
          <w:szCs w:val="22"/>
          <w:lang w:val="ro-RO"/>
        </w:rPr>
      </w:pPr>
    </w:p>
    <w:p w:rsidR="00904761" w:rsidRPr="009F6806" w:rsidRDefault="00AD79D7" w:rsidP="00904761">
      <w:pPr>
        <w:spacing w:line="360" w:lineRule="auto"/>
        <w:ind w:left="-567"/>
        <w:jc w:val="center"/>
        <w:rPr>
          <w:rFonts w:ascii="Times New Roman" w:hAnsi="Times New Roman"/>
          <w:b/>
          <w:color w:val="auto"/>
          <w:szCs w:val="22"/>
          <w:lang w:val="ro-RO"/>
        </w:rPr>
      </w:pPr>
      <w:r w:rsidRPr="009F6806">
        <w:rPr>
          <w:rFonts w:ascii="Times New Roman" w:hAnsi="Times New Roman"/>
          <w:b/>
          <w:color w:val="auto"/>
          <w:szCs w:val="22"/>
          <w:lang w:val="ro-RO"/>
        </w:rPr>
        <w:t xml:space="preserve">              </w:t>
      </w:r>
    </w:p>
    <w:p w:rsidR="001A68A3" w:rsidRPr="009F6806" w:rsidRDefault="00AD79D7" w:rsidP="00AD79D7">
      <w:pPr>
        <w:tabs>
          <w:tab w:val="left" w:pos="4140"/>
        </w:tabs>
        <w:jc w:val="center"/>
        <w:rPr>
          <w:rFonts w:ascii="Times New Roman" w:hAnsi="Times New Roman"/>
          <w:b/>
          <w:color w:val="auto"/>
          <w:szCs w:val="22"/>
          <w:lang w:val="ro-RO"/>
        </w:rPr>
      </w:pPr>
      <w:r w:rsidRPr="009F6806">
        <w:rPr>
          <w:rFonts w:ascii="Times New Roman" w:hAnsi="Times New Roman"/>
          <w:b/>
          <w:color w:val="auto"/>
          <w:szCs w:val="22"/>
          <w:lang w:val="ro-RO"/>
        </w:rPr>
        <w:t xml:space="preserve">     </w:t>
      </w:r>
    </w:p>
    <w:p w:rsidR="00396367" w:rsidRPr="009F6806" w:rsidRDefault="00396367" w:rsidP="00DA3440">
      <w:pPr>
        <w:spacing w:line="360" w:lineRule="auto"/>
        <w:ind w:left="-567"/>
        <w:rPr>
          <w:rFonts w:ascii="Times New Roman" w:hAnsi="Times New Roman"/>
          <w:b/>
          <w:color w:val="auto"/>
          <w:sz w:val="24"/>
          <w:szCs w:val="24"/>
          <w:lang w:val="ro-RO"/>
        </w:rPr>
      </w:pPr>
      <w:bookmarkStart w:id="0" w:name="_GoBack"/>
      <w:bookmarkEnd w:id="0"/>
    </w:p>
    <w:sectPr w:rsidR="00396367" w:rsidRPr="009F6806" w:rsidSect="00370C58">
      <w:pgSz w:w="12240" w:h="15840"/>
      <w:pgMar w:top="284" w:right="5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0" w:rsidRDefault="008645A0" w:rsidP="004C6D5A">
      <w:r>
        <w:separator/>
      </w:r>
    </w:p>
  </w:endnote>
  <w:endnote w:type="continuationSeparator" w:id="0">
    <w:p w:rsidR="008645A0" w:rsidRDefault="008645A0" w:rsidP="004C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0" w:rsidRDefault="008645A0" w:rsidP="004C6D5A">
      <w:r>
        <w:separator/>
      </w:r>
    </w:p>
  </w:footnote>
  <w:footnote w:type="continuationSeparator" w:id="0">
    <w:p w:rsidR="008645A0" w:rsidRDefault="008645A0" w:rsidP="004C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D3"/>
    <w:multiLevelType w:val="hybridMultilevel"/>
    <w:tmpl w:val="3D869A6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3D4B"/>
    <w:multiLevelType w:val="hybridMultilevel"/>
    <w:tmpl w:val="2D4C3BEC"/>
    <w:lvl w:ilvl="0" w:tplc="7326DECC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FD4701"/>
    <w:multiLevelType w:val="hybridMultilevel"/>
    <w:tmpl w:val="537A01C8"/>
    <w:lvl w:ilvl="0" w:tplc="08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>
    <w:nsid w:val="0BD9433C"/>
    <w:multiLevelType w:val="hybridMultilevel"/>
    <w:tmpl w:val="1A522FC4"/>
    <w:lvl w:ilvl="0" w:tplc="0418000B">
      <w:start w:val="1"/>
      <w:numFmt w:val="bullet"/>
      <w:lvlText w:val=""/>
      <w:lvlJc w:val="left"/>
      <w:pPr>
        <w:ind w:left="13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>
    <w:nsid w:val="0CAB3FC1"/>
    <w:multiLevelType w:val="hybridMultilevel"/>
    <w:tmpl w:val="06764C1A"/>
    <w:lvl w:ilvl="0" w:tplc="0EA40C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2000A"/>
    <w:multiLevelType w:val="hybridMultilevel"/>
    <w:tmpl w:val="8110A228"/>
    <w:lvl w:ilvl="0" w:tplc="5D480B4A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6E4D61"/>
    <w:multiLevelType w:val="hybridMultilevel"/>
    <w:tmpl w:val="727EAD8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10C60BC">
      <w:start w:val="1"/>
      <w:numFmt w:val="decimal"/>
      <w:lvlText w:val="%2."/>
      <w:lvlJc w:val="left"/>
      <w:pPr>
        <w:tabs>
          <w:tab w:val="num" w:pos="576"/>
        </w:tabs>
        <w:ind w:left="144" w:firstLine="7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B26068"/>
    <w:multiLevelType w:val="hybridMultilevel"/>
    <w:tmpl w:val="8B3CE32C"/>
    <w:lvl w:ilvl="0" w:tplc="041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AB723EC"/>
    <w:multiLevelType w:val="hybridMultilevel"/>
    <w:tmpl w:val="617E9B32"/>
    <w:lvl w:ilvl="0" w:tplc="C902CDA8">
      <w:numFmt w:val="bullet"/>
      <w:lvlText w:val="-"/>
      <w:lvlJc w:val="left"/>
      <w:pPr>
        <w:tabs>
          <w:tab w:val="num" w:pos="1045"/>
        </w:tabs>
        <w:ind w:left="104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11">
    <w:nsid w:val="1E50125D"/>
    <w:multiLevelType w:val="hybridMultilevel"/>
    <w:tmpl w:val="3D1A7D6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E487A"/>
    <w:multiLevelType w:val="hybridMultilevel"/>
    <w:tmpl w:val="48D69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57E0403"/>
    <w:multiLevelType w:val="hybridMultilevel"/>
    <w:tmpl w:val="126AF096"/>
    <w:lvl w:ilvl="0" w:tplc="0418000F">
      <w:start w:val="1"/>
      <w:numFmt w:val="decimal"/>
      <w:lvlText w:val="%1."/>
      <w:lvlJc w:val="left"/>
      <w:pPr>
        <w:ind w:left="1200" w:hanging="360"/>
      </w:p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27325AAB"/>
    <w:multiLevelType w:val="hybridMultilevel"/>
    <w:tmpl w:val="851C072A"/>
    <w:lvl w:ilvl="0" w:tplc="2AAC9578">
      <w:start w:val="1"/>
      <w:numFmt w:val="upperRoman"/>
      <w:lvlText w:val="%1."/>
      <w:lvlJc w:val="left"/>
      <w:pPr>
        <w:ind w:left="2061" w:hanging="360"/>
      </w:pPr>
      <w:rPr>
        <w:rFonts w:ascii="Trebuchet MS" w:eastAsia="MS Mincho" w:hAnsi="Trebuchet MS" w:cs="Times New Roman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781" w:hanging="360"/>
      </w:pPr>
    </w:lvl>
    <w:lvl w:ilvl="2" w:tplc="0418001B" w:tentative="1">
      <w:start w:val="1"/>
      <w:numFmt w:val="lowerRoman"/>
      <w:lvlText w:val="%3."/>
      <w:lvlJc w:val="right"/>
      <w:pPr>
        <w:ind w:left="3501" w:hanging="180"/>
      </w:pPr>
    </w:lvl>
    <w:lvl w:ilvl="3" w:tplc="0418000F" w:tentative="1">
      <w:start w:val="1"/>
      <w:numFmt w:val="decimal"/>
      <w:lvlText w:val="%4."/>
      <w:lvlJc w:val="left"/>
      <w:pPr>
        <w:ind w:left="4221" w:hanging="360"/>
      </w:pPr>
    </w:lvl>
    <w:lvl w:ilvl="4" w:tplc="04180019" w:tentative="1">
      <w:start w:val="1"/>
      <w:numFmt w:val="lowerLetter"/>
      <w:lvlText w:val="%5."/>
      <w:lvlJc w:val="left"/>
      <w:pPr>
        <w:ind w:left="4941" w:hanging="360"/>
      </w:pPr>
    </w:lvl>
    <w:lvl w:ilvl="5" w:tplc="0418001B" w:tentative="1">
      <w:start w:val="1"/>
      <w:numFmt w:val="lowerRoman"/>
      <w:lvlText w:val="%6."/>
      <w:lvlJc w:val="right"/>
      <w:pPr>
        <w:ind w:left="5661" w:hanging="180"/>
      </w:pPr>
    </w:lvl>
    <w:lvl w:ilvl="6" w:tplc="0418000F" w:tentative="1">
      <w:start w:val="1"/>
      <w:numFmt w:val="decimal"/>
      <w:lvlText w:val="%7."/>
      <w:lvlJc w:val="left"/>
      <w:pPr>
        <w:ind w:left="6381" w:hanging="360"/>
      </w:pPr>
    </w:lvl>
    <w:lvl w:ilvl="7" w:tplc="04180019" w:tentative="1">
      <w:start w:val="1"/>
      <w:numFmt w:val="lowerLetter"/>
      <w:lvlText w:val="%8."/>
      <w:lvlJc w:val="left"/>
      <w:pPr>
        <w:ind w:left="7101" w:hanging="360"/>
      </w:pPr>
    </w:lvl>
    <w:lvl w:ilvl="8" w:tplc="041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F5E5E"/>
    <w:multiLevelType w:val="hybridMultilevel"/>
    <w:tmpl w:val="2ED63708"/>
    <w:lvl w:ilvl="0" w:tplc="0EA40C78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652740"/>
    <w:multiLevelType w:val="hybridMultilevel"/>
    <w:tmpl w:val="F0FEC82C"/>
    <w:lvl w:ilvl="0" w:tplc="AEB86DF6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949E1"/>
    <w:multiLevelType w:val="hybridMultilevel"/>
    <w:tmpl w:val="EDDA7F9A"/>
    <w:lvl w:ilvl="0" w:tplc="041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>
    <w:nsid w:val="4476218C"/>
    <w:multiLevelType w:val="hybridMultilevel"/>
    <w:tmpl w:val="FD5A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6D7AF1"/>
    <w:multiLevelType w:val="hybridMultilevel"/>
    <w:tmpl w:val="C3285A24"/>
    <w:lvl w:ilvl="0" w:tplc="0418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5">
    <w:nsid w:val="57CF7638"/>
    <w:multiLevelType w:val="hybridMultilevel"/>
    <w:tmpl w:val="05341EDE"/>
    <w:lvl w:ilvl="0" w:tplc="C6785D42">
      <w:start w:val="1"/>
      <w:numFmt w:val="decimal"/>
      <w:lvlText w:val="%1."/>
      <w:lvlJc w:val="left"/>
      <w:pPr>
        <w:ind w:left="2421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>
    <w:nsid w:val="597C3345"/>
    <w:multiLevelType w:val="hybridMultilevel"/>
    <w:tmpl w:val="43B834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872C4F"/>
    <w:multiLevelType w:val="hybridMultilevel"/>
    <w:tmpl w:val="3F202AA8"/>
    <w:lvl w:ilvl="0" w:tplc="A6EC3D02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B7EF4"/>
    <w:multiLevelType w:val="hybridMultilevel"/>
    <w:tmpl w:val="696CB380"/>
    <w:lvl w:ilvl="0" w:tplc="0418000F">
      <w:start w:val="1"/>
      <w:numFmt w:val="decimal"/>
      <w:lvlText w:val="%1."/>
      <w:lvlJc w:val="left"/>
      <w:pPr>
        <w:ind w:left="1200" w:hanging="360"/>
      </w:p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72A56BA1"/>
    <w:multiLevelType w:val="hybridMultilevel"/>
    <w:tmpl w:val="605C0D62"/>
    <w:lvl w:ilvl="0" w:tplc="4C04C62E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874334"/>
    <w:multiLevelType w:val="hybridMultilevel"/>
    <w:tmpl w:val="CADAC8B2"/>
    <w:lvl w:ilvl="0" w:tplc="0418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7ABC43EF"/>
    <w:multiLevelType w:val="hybridMultilevel"/>
    <w:tmpl w:val="A0F66C88"/>
    <w:lvl w:ilvl="0" w:tplc="3308069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12"/>
  </w:num>
  <w:num w:numId="5">
    <w:abstractNumId w:val="20"/>
  </w:num>
  <w:num w:numId="6">
    <w:abstractNumId w:val="2"/>
  </w:num>
  <w:num w:numId="7">
    <w:abstractNumId w:val="14"/>
  </w:num>
  <w:num w:numId="8">
    <w:abstractNumId w:val="32"/>
  </w:num>
  <w:num w:numId="9">
    <w:abstractNumId w:val="10"/>
  </w:num>
  <w:num w:numId="10">
    <w:abstractNumId w:val="29"/>
  </w:num>
  <w:num w:numId="11">
    <w:abstractNumId w:val="7"/>
  </w:num>
  <w:num w:numId="12">
    <w:abstractNumId w:val="19"/>
  </w:num>
  <w:num w:numId="13">
    <w:abstractNumId w:val="31"/>
  </w:num>
  <w:num w:numId="14">
    <w:abstractNumId w:val="28"/>
  </w:num>
  <w:num w:numId="15">
    <w:abstractNumId w:val="15"/>
  </w:num>
  <w:num w:numId="16">
    <w:abstractNumId w:val="9"/>
  </w:num>
  <w:num w:numId="17">
    <w:abstractNumId w:val="27"/>
  </w:num>
  <w:num w:numId="18">
    <w:abstractNumId w:val="0"/>
  </w:num>
  <w:num w:numId="19">
    <w:abstractNumId w:val="4"/>
  </w:num>
  <w:num w:numId="20">
    <w:abstractNumId w:val="24"/>
  </w:num>
  <w:num w:numId="21">
    <w:abstractNumId w:val="21"/>
  </w:num>
  <w:num w:numId="22">
    <w:abstractNumId w:val="22"/>
  </w:num>
  <w:num w:numId="23">
    <w:abstractNumId w:val="13"/>
  </w:num>
  <w:num w:numId="24">
    <w:abstractNumId w:val="26"/>
  </w:num>
  <w:num w:numId="25">
    <w:abstractNumId w:val="11"/>
  </w:num>
  <w:num w:numId="26">
    <w:abstractNumId w:val="1"/>
  </w:num>
  <w:num w:numId="27">
    <w:abstractNumId w:val="6"/>
  </w:num>
  <w:num w:numId="28">
    <w:abstractNumId w:val="18"/>
  </w:num>
  <w:num w:numId="29">
    <w:abstractNumId w:val="5"/>
  </w:num>
  <w:num w:numId="30">
    <w:abstractNumId w:val="25"/>
  </w:num>
  <w:num w:numId="31">
    <w:abstractNumId w:val="16"/>
  </w:num>
  <w:num w:numId="32">
    <w:abstractNumId w:val="3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4F32"/>
    <w:rsid w:val="00006225"/>
    <w:rsid w:val="00011E25"/>
    <w:rsid w:val="00021A8A"/>
    <w:rsid w:val="00023985"/>
    <w:rsid w:val="00024942"/>
    <w:rsid w:val="00030590"/>
    <w:rsid w:val="0003282F"/>
    <w:rsid w:val="0004193F"/>
    <w:rsid w:val="00041FF4"/>
    <w:rsid w:val="00043F30"/>
    <w:rsid w:val="0004700E"/>
    <w:rsid w:val="0004749B"/>
    <w:rsid w:val="00052F37"/>
    <w:rsid w:val="00055981"/>
    <w:rsid w:val="00062394"/>
    <w:rsid w:val="00062A0B"/>
    <w:rsid w:val="00063896"/>
    <w:rsid w:val="00074EA6"/>
    <w:rsid w:val="00074FF3"/>
    <w:rsid w:val="000779F8"/>
    <w:rsid w:val="00080333"/>
    <w:rsid w:val="00082C4B"/>
    <w:rsid w:val="00090D41"/>
    <w:rsid w:val="00092CA7"/>
    <w:rsid w:val="00094C6A"/>
    <w:rsid w:val="000A2AD8"/>
    <w:rsid w:val="000B01D1"/>
    <w:rsid w:val="000B2594"/>
    <w:rsid w:val="000B3511"/>
    <w:rsid w:val="000B51CC"/>
    <w:rsid w:val="000C027C"/>
    <w:rsid w:val="000C0374"/>
    <w:rsid w:val="000C4E84"/>
    <w:rsid w:val="000D389C"/>
    <w:rsid w:val="000D3C9B"/>
    <w:rsid w:val="000E1B4A"/>
    <w:rsid w:val="000F0540"/>
    <w:rsid w:val="000F0C5A"/>
    <w:rsid w:val="000F1E35"/>
    <w:rsid w:val="000F3D3F"/>
    <w:rsid w:val="000F54DA"/>
    <w:rsid w:val="00103ABE"/>
    <w:rsid w:val="001046F6"/>
    <w:rsid w:val="001059FA"/>
    <w:rsid w:val="00106D03"/>
    <w:rsid w:val="00114C5E"/>
    <w:rsid w:val="001156FA"/>
    <w:rsid w:val="00115802"/>
    <w:rsid w:val="00116112"/>
    <w:rsid w:val="00122DF6"/>
    <w:rsid w:val="001329F5"/>
    <w:rsid w:val="00141EB5"/>
    <w:rsid w:val="00142B27"/>
    <w:rsid w:val="0014505E"/>
    <w:rsid w:val="0014658F"/>
    <w:rsid w:val="00146B12"/>
    <w:rsid w:val="001508D7"/>
    <w:rsid w:val="001538C0"/>
    <w:rsid w:val="00153907"/>
    <w:rsid w:val="0015419F"/>
    <w:rsid w:val="0015477E"/>
    <w:rsid w:val="00155037"/>
    <w:rsid w:val="001559FB"/>
    <w:rsid w:val="0015707F"/>
    <w:rsid w:val="00163812"/>
    <w:rsid w:val="00166E8E"/>
    <w:rsid w:val="00167E86"/>
    <w:rsid w:val="00173DF6"/>
    <w:rsid w:val="00177794"/>
    <w:rsid w:val="00182B12"/>
    <w:rsid w:val="001848A0"/>
    <w:rsid w:val="00185641"/>
    <w:rsid w:val="0019044F"/>
    <w:rsid w:val="00190E72"/>
    <w:rsid w:val="00191C76"/>
    <w:rsid w:val="0019238D"/>
    <w:rsid w:val="00195306"/>
    <w:rsid w:val="001959D9"/>
    <w:rsid w:val="001966C1"/>
    <w:rsid w:val="001A3749"/>
    <w:rsid w:val="001A68A3"/>
    <w:rsid w:val="001B2DBD"/>
    <w:rsid w:val="001B50D7"/>
    <w:rsid w:val="001B52ED"/>
    <w:rsid w:val="001B627C"/>
    <w:rsid w:val="001B62D5"/>
    <w:rsid w:val="001C02CF"/>
    <w:rsid w:val="001C415E"/>
    <w:rsid w:val="001C6F12"/>
    <w:rsid w:val="001D0620"/>
    <w:rsid w:val="001D0BEB"/>
    <w:rsid w:val="001D1D27"/>
    <w:rsid w:val="001D55A2"/>
    <w:rsid w:val="001D6215"/>
    <w:rsid w:val="001D7FDF"/>
    <w:rsid w:val="001E1A07"/>
    <w:rsid w:val="001E254B"/>
    <w:rsid w:val="001E2B4E"/>
    <w:rsid w:val="001E41B0"/>
    <w:rsid w:val="001E4BEE"/>
    <w:rsid w:val="001E6332"/>
    <w:rsid w:val="001F0BBA"/>
    <w:rsid w:val="001F1799"/>
    <w:rsid w:val="0020129E"/>
    <w:rsid w:val="002075C4"/>
    <w:rsid w:val="00210BCF"/>
    <w:rsid w:val="002172D4"/>
    <w:rsid w:val="00224C92"/>
    <w:rsid w:val="002269FF"/>
    <w:rsid w:val="00232D8C"/>
    <w:rsid w:val="00234667"/>
    <w:rsid w:val="002346BC"/>
    <w:rsid w:val="00243001"/>
    <w:rsid w:val="002503B2"/>
    <w:rsid w:val="0025057C"/>
    <w:rsid w:val="00250684"/>
    <w:rsid w:val="00253541"/>
    <w:rsid w:val="002538A4"/>
    <w:rsid w:val="002552EE"/>
    <w:rsid w:val="00255ACA"/>
    <w:rsid w:val="00256641"/>
    <w:rsid w:val="002570EB"/>
    <w:rsid w:val="0025749F"/>
    <w:rsid w:val="002574CE"/>
    <w:rsid w:val="002579D8"/>
    <w:rsid w:val="00263170"/>
    <w:rsid w:val="00267015"/>
    <w:rsid w:val="00272CA0"/>
    <w:rsid w:val="002745EF"/>
    <w:rsid w:val="00274669"/>
    <w:rsid w:val="0028554E"/>
    <w:rsid w:val="00292DD1"/>
    <w:rsid w:val="002961C8"/>
    <w:rsid w:val="0029674E"/>
    <w:rsid w:val="002A0207"/>
    <w:rsid w:val="002A27FB"/>
    <w:rsid w:val="002A358D"/>
    <w:rsid w:val="002A5749"/>
    <w:rsid w:val="002B182C"/>
    <w:rsid w:val="002B5B0B"/>
    <w:rsid w:val="002C07EF"/>
    <w:rsid w:val="002C0A88"/>
    <w:rsid w:val="002C21DD"/>
    <w:rsid w:val="002C31B8"/>
    <w:rsid w:val="002C6C2D"/>
    <w:rsid w:val="002C6EF7"/>
    <w:rsid w:val="002D03B4"/>
    <w:rsid w:val="002D0E71"/>
    <w:rsid w:val="002D1390"/>
    <w:rsid w:val="002D13FD"/>
    <w:rsid w:val="002D1507"/>
    <w:rsid w:val="002D3183"/>
    <w:rsid w:val="002D3F13"/>
    <w:rsid w:val="002D689C"/>
    <w:rsid w:val="002E25FC"/>
    <w:rsid w:val="002E6633"/>
    <w:rsid w:val="002E7CBD"/>
    <w:rsid w:val="002F7A20"/>
    <w:rsid w:val="003009F4"/>
    <w:rsid w:val="00302D74"/>
    <w:rsid w:val="003038EF"/>
    <w:rsid w:val="00303C29"/>
    <w:rsid w:val="00304125"/>
    <w:rsid w:val="00305368"/>
    <w:rsid w:val="003109C8"/>
    <w:rsid w:val="00310E11"/>
    <w:rsid w:val="00316442"/>
    <w:rsid w:val="0031768E"/>
    <w:rsid w:val="0031786B"/>
    <w:rsid w:val="00331EBC"/>
    <w:rsid w:val="00332470"/>
    <w:rsid w:val="003344E6"/>
    <w:rsid w:val="00334A2C"/>
    <w:rsid w:val="00335BF2"/>
    <w:rsid w:val="00336606"/>
    <w:rsid w:val="00342D63"/>
    <w:rsid w:val="00343511"/>
    <w:rsid w:val="00354CA4"/>
    <w:rsid w:val="00357B6F"/>
    <w:rsid w:val="0036232E"/>
    <w:rsid w:val="00365AB1"/>
    <w:rsid w:val="003669BB"/>
    <w:rsid w:val="00366C85"/>
    <w:rsid w:val="00367267"/>
    <w:rsid w:val="00370C58"/>
    <w:rsid w:val="0037211D"/>
    <w:rsid w:val="003757BD"/>
    <w:rsid w:val="0037726A"/>
    <w:rsid w:val="00377756"/>
    <w:rsid w:val="0038009A"/>
    <w:rsid w:val="003818D5"/>
    <w:rsid w:val="00383A2E"/>
    <w:rsid w:val="00386A2B"/>
    <w:rsid w:val="003910CD"/>
    <w:rsid w:val="00391DF2"/>
    <w:rsid w:val="003953C4"/>
    <w:rsid w:val="00396367"/>
    <w:rsid w:val="003A2F7E"/>
    <w:rsid w:val="003A4D3E"/>
    <w:rsid w:val="003A7211"/>
    <w:rsid w:val="003B2335"/>
    <w:rsid w:val="003B3064"/>
    <w:rsid w:val="003B56B7"/>
    <w:rsid w:val="003B667C"/>
    <w:rsid w:val="003C32BC"/>
    <w:rsid w:val="003C4038"/>
    <w:rsid w:val="003C6BC6"/>
    <w:rsid w:val="003D2ED7"/>
    <w:rsid w:val="003D4FBF"/>
    <w:rsid w:val="003E08FA"/>
    <w:rsid w:val="003E37E2"/>
    <w:rsid w:val="003E4E49"/>
    <w:rsid w:val="003E5A08"/>
    <w:rsid w:val="003E6525"/>
    <w:rsid w:val="003E73AC"/>
    <w:rsid w:val="003F0DE8"/>
    <w:rsid w:val="003F336F"/>
    <w:rsid w:val="003F5510"/>
    <w:rsid w:val="0040067A"/>
    <w:rsid w:val="004042E8"/>
    <w:rsid w:val="00404EA5"/>
    <w:rsid w:val="00406E15"/>
    <w:rsid w:val="00410A6E"/>
    <w:rsid w:val="00411C51"/>
    <w:rsid w:val="00424D19"/>
    <w:rsid w:val="00424E3D"/>
    <w:rsid w:val="004320AA"/>
    <w:rsid w:val="004327B5"/>
    <w:rsid w:val="00434043"/>
    <w:rsid w:val="0043517C"/>
    <w:rsid w:val="00436369"/>
    <w:rsid w:val="0043764B"/>
    <w:rsid w:val="00437D11"/>
    <w:rsid w:val="0044596F"/>
    <w:rsid w:val="00446E47"/>
    <w:rsid w:val="00447A76"/>
    <w:rsid w:val="00451A3E"/>
    <w:rsid w:val="00455343"/>
    <w:rsid w:val="00455968"/>
    <w:rsid w:val="00456216"/>
    <w:rsid w:val="0045679B"/>
    <w:rsid w:val="00456B61"/>
    <w:rsid w:val="00457CCA"/>
    <w:rsid w:val="00457DF9"/>
    <w:rsid w:val="00460DFB"/>
    <w:rsid w:val="00460EFF"/>
    <w:rsid w:val="00461745"/>
    <w:rsid w:val="00466AFF"/>
    <w:rsid w:val="0046711F"/>
    <w:rsid w:val="00467317"/>
    <w:rsid w:val="004709F9"/>
    <w:rsid w:val="00471739"/>
    <w:rsid w:val="00471A5C"/>
    <w:rsid w:val="0047632F"/>
    <w:rsid w:val="00477E09"/>
    <w:rsid w:val="00480805"/>
    <w:rsid w:val="00480FE2"/>
    <w:rsid w:val="0049029A"/>
    <w:rsid w:val="00493136"/>
    <w:rsid w:val="00493EC4"/>
    <w:rsid w:val="0049500F"/>
    <w:rsid w:val="00495A2C"/>
    <w:rsid w:val="004A219E"/>
    <w:rsid w:val="004A3385"/>
    <w:rsid w:val="004B0D7A"/>
    <w:rsid w:val="004B146D"/>
    <w:rsid w:val="004B4469"/>
    <w:rsid w:val="004B5603"/>
    <w:rsid w:val="004C2E36"/>
    <w:rsid w:val="004C39D9"/>
    <w:rsid w:val="004C6D5A"/>
    <w:rsid w:val="004C7785"/>
    <w:rsid w:val="004D178E"/>
    <w:rsid w:val="004D31B7"/>
    <w:rsid w:val="004D4204"/>
    <w:rsid w:val="004E0359"/>
    <w:rsid w:val="004E049E"/>
    <w:rsid w:val="004E4599"/>
    <w:rsid w:val="004F06BC"/>
    <w:rsid w:val="004F2917"/>
    <w:rsid w:val="004F3685"/>
    <w:rsid w:val="004F415F"/>
    <w:rsid w:val="004F7517"/>
    <w:rsid w:val="00500E89"/>
    <w:rsid w:val="005010FD"/>
    <w:rsid w:val="00501EBC"/>
    <w:rsid w:val="00503C40"/>
    <w:rsid w:val="00505A08"/>
    <w:rsid w:val="00506C91"/>
    <w:rsid w:val="0051498A"/>
    <w:rsid w:val="00525428"/>
    <w:rsid w:val="0053131B"/>
    <w:rsid w:val="005330C5"/>
    <w:rsid w:val="00533EC2"/>
    <w:rsid w:val="00540813"/>
    <w:rsid w:val="00540DEE"/>
    <w:rsid w:val="00541856"/>
    <w:rsid w:val="00542055"/>
    <w:rsid w:val="00545B25"/>
    <w:rsid w:val="0055029E"/>
    <w:rsid w:val="00551D7E"/>
    <w:rsid w:val="00553A4E"/>
    <w:rsid w:val="00554985"/>
    <w:rsid w:val="00555017"/>
    <w:rsid w:val="005564C6"/>
    <w:rsid w:val="005568B2"/>
    <w:rsid w:val="00556C0B"/>
    <w:rsid w:val="00561215"/>
    <w:rsid w:val="005706EF"/>
    <w:rsid w:val="005706FE"/>
    <w:rsid w:val="00573B51"/>
    <w:rsid w:val="00574CA9"/>
    <w:rsid w:val="005753F7"/>
    <w:rsid w:val="0057598D"/>
    <w:rsid w:val="00583C97"/>
    <w:rsid w:val="0058616C"/>
    <w:rsid w:val="0058789A"/>
    <w:rsid w:val="00596D4E"/>
    <w:rsid w:val="005A2B96"/>
    <w:rsid w:val="005A361C"/>
    <w:rsid w:val="005A4661"/>
    <w:rsid w:val="005A66F7"/>
    <w:rsid w:val="005A6E29"/>
    <w:rsid w:val="005B4DF4"/>
    <w:rsid w:val="005C2117"/>
    <w:rsid w:val="005C4F6D"/>
    <w:rsid w:val="005C66AA"/>
    <w:rsid w:val="005C759E"/>
    <w:rsid w:val="005D0332"/>
    <w:rsid w:val="005D14D4"/>
    <w:rsid w:val="005D32D2"/>
    <w:rsid w:val="005D471D"/>
    <w:rsid w:val="005D50D7"/>
    <w:rsid w:val="005E2DAE"/>
    <w:rsid w:val="005E688C"/>
    <w:rsid w:val="005F0D47"/>
    <w:rsid w:val="005F2420"/>
    <w:rsid w:val="005F47D2"/>
    <w:rsid w:val="005F4E34"/>
    <w:rsid w:val="00601513"/>
    <w:rsid w:val="00606068"/>
    <w:rsid w:val="0060789A"/>
    <w:rsid w:val="006148EE"/>
    <w:rsid w:val="00614B58"/>
    <w:rsid w:val="00616C29"/>
    <w:rsid w:val="00620339"/>
    <w:rsid w:val="0062421C"/>
    <w:rsid w:val="00624791"/>
    <w:rsid w:val="00624FE5"/>
    <w:rsid w:val="00625CBB"/>
    <w:rsid w:val="0062752B"/>
    <w:rsid w:val="00627635"/>
    <w:rsid w:val="00627665"/>
    <w:rsid w:val="0063103C"/>
    <w:rsid w:val="00632827"/>
    <w:rsid w:val="0063382B"/>
    <w:rsid w:val="006351D7"/>
    <w:rsid w:val="0063774F"/>
    <w:rsid w:val="00637832"/>
    <w:rsid w:val="00637F78"/>
    <w:rsid w:val="0064321E"/>
    <w:rsid w:val="00643F9D"/>
    <w:rsid w:val="00644230"/>
    <w:rsid w:val="00644B81"/>
    <w:rsid w:val="00645DCF"/>
    <w:rsid w:val="006475FE"/>
    <w:rsid w:val="0065136B"/>
    <w:rsid w:val="00653357"/>
    <w:rsid w:val="00653946"/>
    <w:rsid w:val="00655287"/>
    <w:rsid w:val="00655862"/>
    <w:rsid w:val="0066325E"/>
    <w:rsid w:val="00664F28"/>
    <w:rsid w:val="00666FE2"/>
    <w:rsid w:val="006672EB"/>
    <w:rsid w:val="006679B5"/>
    <w:rsid w:val="006700D7"/>
    <w:rsid w:val="006715BF"/>
    <w:rsid w:val="006720DC"/>
    <w:rsid w:val="00673136"/>
    <w:rsid w:val="00675172"/>
    <w:rsid w:val="00676524"/>
    <w:rsid w:val="00685AD5"/>
    <w:rsid w:val="00686127"/>
    <w:rsid w:val="00686A0D"/>
    <w:rsid w:val="006879A2"/>
    <w:rsid w:val="00687CA0"/>
    <w:rsid w:val="00692621"/>
    <w:rsid w:val="0069349E"/>
    <w:rsid w:val="00694B6A"/>
    <w:rsid w:val="006976E6"/>
    <w:rsid w:val="006A1E08"/>
    <w:rsid w:val="006B05E8"/>
    <w:rsid w:val="006B43CB"/>
    <w:rsid w:val="006B62E7"/>
    <w:rsid w:val="006C0941"/>
    <w:rsid w:val="006C15D5"/>
    <w:rsid w:val="006C1E0B"/>
    <w:rsid w:val="006C3E6F"/>
    <w:rsid w:val="006C4AF0"/>
    <w:rsid w:val="006C690D"/>
    <w:rsid w:val="006C6CFA"/>
    <w:rsid w:val="006C6E97"/>
    <w:rsid w:val="006D0F18"/>
    <w:rsid w:val="006D1385"/>
    <w:rsid w:val="006D1520"/>
    <w:rsid w:val="006D1CD4"/>
    <w:rsid w:val="006D4667"/>
    <w:rsid w:val="006E1879"/>
    <w:rsid w:val="006E6044"/>
    <w:rsid w:val="006E631B"/>
    <w:rsid w:val="006F18F6"/>
    <w:rsid w:val="006F5EF3"/>
    <w:rsid w:val="007019CC"/>
    <w:rsid w:val="007035DB"/>
    <w:rsid w:val="00704E14"/>
    <w:rsid w:val="0070509C"/>
    <w:rsid w:val="00705B42"/>
    <w:rsid w:val="007073A9"/>
    <w:rsid w:val="00710EE5"/>
    <w:rsid w:val="00711B9E"/>
    <w:rsid w:val="00714601"/>
    <w:rsid w:val="00714A95"/>
    <w:rsid w:val="00714D95"/>
    <w:rsid w:val="007217E4"/>
    <w:rsid w:val="00726802"/>
    <w:rsid w:val="007340B3"/>
    <w:rsid w:val="007350E1"/>
    <w:rsid w:val="00740F29"/>
    <w:rsid w:val="00742BFD"/>
    <w:rsid w:val="0074593A"/>
    <w:rsid w:val="0074669A"/>
    <w:rsid w:val="00756943"/>
    <w:rsid w:val="00760182"/>
    <w:rsid w:val="00761F7D"/>
    <w:rsid w:val="00776E4F"/>
    <w:rsid w:val="00777A73"/>
    <w:rsid w:val="007800D1"/>
    <w:rsid w:val="0078366E"/>
    <w:rsid w:val="007911AE"/>
    <w:rsid w:val="00793D50"/>
    <w:rsid w:val="00794BB2"/>
    <w:rsid w:val="007A2445"/>
    <w:rsid w:val="007A338B"/>
    <w:rsid w:val="007A3700"/>
    <w:rsid w:val="007A6018"/>
    <w:rsid w:val="007B3207"/>
    <w:rsid w:val="007B37A4"/>
    <w:rsid w:val="007B4599"/>
    <w:rsid w:val="007B546F"/>
    <w:rsid w:val="007B5D77"/>
    <w:rsid w:val="007B71D5"/>
    <w:rsid w:val="007C0312"/>
    <w:rsid w:val="007C052A"/>
    <w:rsid w:val="007C2CEA"/>
    <w:rsid w:val="007C5629"/>
    <w:rsid w:val="007C5EC4"/>
    <w:rsid w:val="007C7D93"/>
    <w:rsid w:val="007D3DBE"/>
    <w:rsid w:val="007D534F"/>
    <w:rsid w:val="007D53E6"/>
    <w:rsid w:val="007E2C76"/>
    <w:rsid w:val="007F0913"/>
    <w:rsid w:val="007F1DCA"/>
    <w:rsid w:val="007F274F"/>
    <w:rsid w:val="007F3444"/>
    <w:rsid w:val="007F44E3"/>
    <w:rsid w:val="008015B7"/>
    <w:rsid w:val="008018AB"/>
    <w:rsid w:val="00802CA4"/>
    <w:rsid w:val="00803461"/>
    <w:rsid w:val="00815A0A"/>
    <w:rsid w:val="00815E8F"/>
    <w:rsid w:val="00820A6D"/>
    <w:rsid w:val="00823695"/>
    <w:rsid w:val="00823FB3"/>
    <w:rsid w:val="00824948"/>
    <w:rsid w:val="00824CEA"/>
    <w:rsid w:val="00832005"/>
    <w:rsid w:val="00832DC5"/>
    <w:rsid w:val="0083319A"/>
    <w:rsid w:val="00833331"/>
    <w:rsid w:val="008341AF"/>
    <w:rsid w:val="00834572"/>
    <w:rsid w:val="00835B61"/>
    <w:rsid w:val="00836A4D"/>
    <w:rsid w:val="00840ACF"/>
    <w:rsid w:val="00842580"/>
    <w:rsid w:val="00843F87"/>
    <w:rsid w:val="0084581B"/>
    <w:rsid w:val="00846977"/>
    <w:rsid w:val="008502B8"/>
    <w:rsid w:val="00852E69"/>
    <w:rsid w:val="00856E8F"/>
    <w:rsid w:val="00857718"/>
    <w:rsid w:val="00857B15"/>
    <w:rsid w:val="00862923"/>
    <w:rsid w:val="00863DB4"/>
    <w:rsid w:val="008645A0"/>
    <w:rsid w:val="008671C5"/>
    <w:rsid w:val="008678FF"/>
    <w:rsid w:val="00870CE3"/>
    <w:rsid w:val="00872E8D"/>
    <w:rsid w:val="00874758"/>
    <w:rsid w:val="00874EFF"/>
    <w:rsid w:val="00877271"/>
    <w:rsid w:val="008805FC"/>
    <w:rsid w:val="00880D4A"/>
    <w:rsid w:val="008856FA"/>
    <w:rsid w:val="008907D0"/>
    <w:rsid w:val="00896AA6"/>
    <w:rsid w:val="008A24F3"/>
    <w:rsid w:val="008A2939"/>
    <w:rsid w:val="008B2B73"/>
    <w:rsid w:val="008B58B0"/>
    <w:rsid w:val="008B638E"/>
    <w:rsid w:val="008B7BFB"/>
    <w:rsid w:val="008C26FD"/>
    <w:rsid w:val="008C4D5E"/>
    <w:rsid w:val="008C54B5"/>
    <w:rsid w:val="008C6501"/>
    <w:rsid w:val="008C69DB"/>
    <w:rsid w:val="008D049D"/>
    <w:rsid w:val="008D0E19"/>
    <w:rsid w:val="008D26F9"/>
    <w:rsid w:val="008D34FC"/>
    <w:rsid w:val="008D496C"/>
    <w:rsid w:val="008D59CB"/>
    <w:rsid w:val="008D5F1F"/>
    <w:rsid w:val="008D7F2E"/>
    <w:rsid w:val="008E3F2F"/>
    <w:rsid w:val="008E4602"/>
    <w:rsid w:val="008E4C1D"/>
    <w:rsid w:val="008F129D"/>
    <w:rsid w:val="008F14E4"/>
    <w:rsid w:val="008F26B1"/>
    <w:rsid w:val="008F5488"/>
    <w:rsid w:val="008F5A93"/>
    <w:rsid w:val="008F61F5"/>
    <w:rsid w:val="008F6518"/>
    <w:rsid w:val="00900242"/>
    <w:rsid w:val="0090204A"/>
    <w:rsid w:val="00904761"/>
    <w:rsid w:val="00905925"/>
    <w:rsid w:val="00907C00"/>
    <w:rsid w:val="00907C42"/>
    <w:rsid w:val="009103AF"/>
    <w:rsid w:val="009112E1"/>
    <w:rsid w:val="009121C8"/>
    <w:rsid w:val="00913370"/>
    <w:rsid w:val="00914A38"/>
    <w:rsid w:val="009164DC"/>
    <w:rsid w:val="009223F5"/>
    <w:rsid w:val="00922E89"/>
    <w:rsid w:val="00931A1F"/>
    <w:rsid w:val="00943247"/>
    <w:rsid w:val="0094346E"/>
    <w:rsid w:val="00945575"/>
    <w:rsid w:val="00946571"/>
    <w:rsid w:val="00946918"/>
    <w:rsid w:val="00947FB8"/>
    <w:rsid w:val="0095060D"/>
    <w:rsid w:val="00955877"/>
    <w:rsid w:val="00957B5B"/>
    <w:rsid w:val="00960748"/>
    <w:rsid w:val="009608B0"/>
    <w:rsid w:val="00961B62"/>
    <w:rsid w:val="00966DB0"/>
    <w:rsid w:val="00967E3E"/>
    <w:rsid w:val="00972AF5"/>
    <w:rsid w:val="00973973"/>
    <w:rsid w:val="00980F97"/>
    <w:rsid w:val="00984B93"/>
    <w:rsid w:val="00990201"/>
    <w:rsid w:val="00992241"/>
    <w:rsid w:val="0099311E"/>
    <w:rsid w:val="00997AB0"/>
    <w:rsid w:val="00997D58"/>
    <w:rsid w:val="009A1F18"/>
    <w:rsid w:val="009A3BA4"/>
    <w:rsid w:val="009A4272"/>
    <w:rsid w:val="009A49B2"/>
    <w:rsid w:val="009A61C1"/>
    <w:rsid w:val="009A714C"/>
    <w:rsid w:val="009A7F25"/>
    <w:rsid w:val="009B1DF1"/>
    <w:rsid w:val="009B2F7D"/>
    <w:rsid w:val="009B55D7"/>
    <w:rsid w:val="009B5AFC"/>
    <w:rsid w:val="009E078F"/>
    <w:rsid w:val="009E07E8"/>
    <w:rsid w:val="009E0A5F"/>
    <w:rsid w:val="009E23B3"/>
    <w:rsid w:val="009E5BCC"/>
    <w:rsid w:val="009F0805"/>
    <w:rsid w:val="009F0EC0"/>
    <w:rsid w:val="009F1A70"/>
    <w:rsid w:val="009F2B51"/>
    <w:rsid w:val="009F6806"/>
    <w:rsid w:val="009F6996"/>
    <w:rsid w:val="009F7746"/>
    <w:rsid w:val="00A1099F"/>
    <w:rsid w:val="00A14E6F"/>
    <w:rsid w:val="00A22CA1"/>
    <w:rsid w:val="00A23939"/>
    <w:rsid w:val="00A26BF6"/>
    <w:rsid w:val="00A31BD5"/>
    <w:rsid w:val="00A3420F"/>
    <w:rsid w:val="00A40577"/>
    <w:rsid w:val="00A442DA"/>
    <w:rsid w:val="00A4597E"/>
    <w:rsid w:val="00A45AB0"/>
    <w:rsid w:val="00A52A88"/>
    <w:rsid w:val="00A53756"/>
    <w:rsid w:val="00A5593C"/>
    <w:rsid w:val="00A574D7"/>
    <w:rsid w:val="00A65CC7"/>
    <w:rsid w:val="00A76A00"/>
    <w:rsid w:val="00A82EBD"/>
    <w:rsid w:val="00A832FD"/>
    <w:rsid w:val="00A84142"/>
    <w:rsid w:val="00A86591"/>
    <w:rsid w:val="00A8715D"/>
    <w:rsid w:val="00A914E9"/>
    <w:rsid w:val="00A925E4"/>
    <w:rsid w:val="00A96753"/>
    <w:rsid w:val="00A96FEF"/>
    <w:rsid w:val="00AA0B8D"/>
    <w:rsid w:val="00AA5386"/>
    <w:rsid w:val="00AB4F32"/>
    <w:rsid w:val="00AB69B3"/>
    <w:rsid w:val="00AB73EB"/>
    <w:rsid w:val="00AB7602"/>
    <w:rsid w:val="00AC47B4"/>
    <w:rsid w:val="00AC6B6D"/>
    <w:rsid w:val="00AD54C5"/>
    <w:rsid w:val="00AD79D7"/>
    <w:rsid w:val="00AE0005"/>
    <w:rsid w:val="00AE4841"/>
    <w:rsid w:val="00AE4A36"/>
    <w:rsid w:val="00AE5976"/>
    <w:rsid w:val="00AF1E7A"/>
    <w:rsid w:val="00AF3067"/>
    <w:rsid w:val="00AF4219"/>
    <w:rsid w:val="00B00B1D"/>
    <w:rsid w:val="00B0603C"/>
    <w:rsid w:val="00B06044"/>
    <w:rsid w:val="00B148CB"/>
    <w:rsid w:val="00B212AA"/>
    <w:rsid w:val="00B228A2"/>
    <w:rsid w:val="00B232CE"/>
    <w:rsid w:val="00B25564"/>
    <w:rsid w:val="00B2768E"/>
    <w:rsid w:val="00B319E1"/>
    <w:rsid w:val="00B3300C"/>
    <w:rsid w:val="00B37EF6"/>
    <w:rsid w:val="00B41314"/>
    <w:rsid w:val="00B4518E"/>
    <w:rsid w:val="00B45870"/>
    <w:rsid w:val="00B53353"/>
    <w:rsid w:val="00B621B4"/>
    <w:rsid w:val="00B632B8"/>
    <w:rsid w:val="00B63919"/>
    <w:rsid w:val="00B65253"/>
    <w:rsid w:val="00B655A4"/>
    <w:rsid w:val="00B658F7"/>
    <w:rsid w:val="00B65ABC"/>
    <w:rsid w:val="00B7032B"/>
    <w:rsid w:val="00B721F6"/>
    <w:rsid w:val="00B756C3"/>
    <w:rsid w:val="00B81D71"/>
    <w:rsid w:val="00B87345"/>
    <w:rsid w:val="00BA3855"/>
    <w:rsid w:val="00BA5284"/>
    <w:rsid w:val="00BA72AD"/>
    <w:rsid w:val="00BA7A59"/>
    <w:rsid w:val="00BB18EF"/>
    <w:rsid w:val="00BB305B"/>
    <w:rsid w:val="00BB5F12"/>
    <w:rsid w:val="00BC21B5"/>
    <w:rsid w:val="00BC34D5"/>
    <w:rsid w:val="00BC689D"/>
    <w:rsid w:val="00BC7AC4"/>
    <w:rsid w:val="00BD1F2E"/>
    <w:rsid w:val="00BD30FB"/>
    <w:rsid w:val="00BD31D2"/>
    <w:rsid w:val="00BD4139"/>
    <w:rsid w:val="00BD57DC"/>
    <w:rsid w:val="00BE0C24"/>
    <w:rsid w:val="00BE2BCA"/>
    <w:rsid w:val="00BE42F5"/>
    <w:rsid w:val="00BF0D91"/>
    <w:rsid w:val="00BF21E1"/>
    <w:rsid w:val="00BF6742"/>
    <w:rsid w:val="00BF7E97"/>
    <w:rsid w:val="00BF7ED8"/>
    <w:rsid w:val="00C03838"/>
    <w:rsid w:val="00C06844"/>
    <w:rsid w:val="00C1477F"/>
    <w:rsid w:val="00C21C40"/>
    <w:rsid w:val="00C2459F"/>
    <w:rsid w:val="00C3071B"/>
    <w:rsid w:val="00C3074F"/>
    <w:rsid w:val="00C31086"/>
    <w:rsid w:val="00C31FAA"/>
    <w:rsid w:val="00C36E9A"/>
    <w:rsid w:val="00C44009"/>
    <w:rsid w:val="00C450CF"/>
    <w:rsid w:val="00C4524D"/>
    <w:rsid w:val="00C53B53"/>
    <w:rsid w:val="00C71793"/>
    <w:rsid w:val="00C744E6"/>
    <w:rsid w:val="00C82C43"/>
    <w:rsid w:val="00C84FF1"/>
    <w:rsid w:val="00C869B5"/>
    <w:rsid w:val="00C91FE7"/>
    <w:rsid w:val="00C97BC4"/>
    <w:rsid w:val="00CA069F"/>
    <w:rsid w:val="00CA3710"/>
    <w:rsid w:val="00CA4DEE"/>
    <w:rsid w:val="00CA5F3A"/>
    <w:rsid w:val="00CB0121"/>
    <w:rsid w:val="00CB09C3"/>
    <w:rsid w:val="00CB0BA8"/>
    <w:rsid w:val="00CB1499"/>
    <w:rsid w:val="00CB204B"/>
    <w:rsid w:val="00CB5031"/>
    <w:rsid w:val="00CB7819"/>
    <w:rsid w:val="00CC036E"/>
    <w:rsid w:val="00CC072D"/>
    <w:rsid w:val="00CC1071"/>
    <w:rsid w:val="00CC1B7C"/>
    <w:rsid w:val="00CC4FC5"/>
    <w:rsid w:val="00CC619C"/>
    <w:rsid w:val="00CC7E63"/>
    <w:rsid w:val="00CD63CD"/>
    <w:rsid w:val="00CD6988"/>
    <w:rsid w:val="00CD73BC"/>
    <w:rsid w:val="00CE26E1"/>
    <w:rsid w:val="00CE4093"/>
    <w:rsid w:val="00CE55F9"/>
    <w:rsid w:val="00CE7214"/>
    <w:rsid w:val="00CF06D1"/>
    <w:rsid w:val="00CF07B3"/>
    <w:rsid w:val="00CF48D8"/>
    <w:rsid w:val="00CF5D3A"/>
    <w:rsid w:val="00D0698E"/>
    <w:rsid w:val="00D072BE"/>
    <w:rsid w:val="00D07DDE"/>
    <w:rsid w:val="00D101D9"/>
    <w:rsid w:val="00D14850"/>
    <w:rsid w:val="00D16354"/>
    <w:rsid w:val="00D20EA5"/>
    <w:rsid w:val="00D3004D"/>
    <w:rsid w:val="00D308F7"/>
    <w:rsid w:val="00D31422"/>
    <w:rsid w:val="00D32B49"/>
    <w:rsid w:val="00D32E3F"/>
    <w:rsid w:val="00D36ACD"/>
    <w:rsid w:val="00D40D88"/>
    <w:rsid w:val="00D40FEE"/>
    <w:rsid w:val="00D43375"/>
    <w:rsid w:val="00D44E55"/>
    <w:rsid w:val="00D47F77"/>
    <w:rsid w:val="00D52F30"/>
    <w:rsid w:val="00D54C62"/>
    <w:rsid w:val="00D608E2"/>
    <w:rsid w:val="00D60F5F"/>
    <w:rsid w:val="00D61A5D"/>
    <w:rsid w:val="00D62BAD"/>
    <w:rsid w:val="00D63152"/>
    <w:rsid w:val="00D640DD"/>
    <w:rsid w:val="00D71C9D"/>
    <w:rsid w:val="00D74EDF"/>
    <w:rsid w:val="00D83110"/>
    <w:rsid w:val="00D83D47"/>
    <w:rsid w:val="00D91D25"/>
    <w:rsid w:val="00D91FAA"/>
    <w:rsid w:val="00D97913"/>
    <w:rsid w:val="00DA3440"/>
    <w:rsid w:val="00DB0342"/>
    <w:rsid w:val="00DB0EAB"/>
    <w:rsid w:val="00DB24D0"/>
    <w:rsid w:val="00DB2AEC"/>
    <w:rsid w:val="00DB7A82"/>
    <w:rsid w:val="00DC0069"/>
    <w:rsid w:val="00DC0F0B"/>
    <w:rsid w:val="00DC33ED"/>
    <w:rsid w:val="00DC4A88"/>
    <w:rsid w:val="00DC5172"/>
    <w:rsid w:val="00DD039D"/>
    <w:rsid w:val="00DD4120"/>
    <w:rsid w:val="00DE4B70"/>
    <w:rsid w:val="00DF5FC0"/>
    <w:rsid w:val="00E01319"/>
    <w:rsid w:val="00E0193E"/>
    <w:rsid w:val="00E01BC0"/>
    <w:rsid w:val="00E04C4F"/>
    <w:rsid w:val="00E0711A"/>
    <w:rsid w:val="00E076C3"/>
    <w:rsid w:val="00E07A39"/>
    <w:rsid w:val="00E10BDA"/>
    <w:rsid w:val="00E22BB9"/>
    <w:rsid w:val="00E23B75"/>
    <w:rsid w:val="00E31C29"/>
    <w:rsid w:val="00E32C65"/>
    <w:rsid w:val="00E3503A"/>
    <w:rsid w:val="00E35E42"/>
    <w:rsid w:val="00E3653B"/>
    <w:rsid w:val="00E42E3E"/>
    <w:rsid w:val="00E43E5D"/>
    <w:rsid w:val="00E4580F"/>
    <w:rsid w:val="00E469DA"/>
    <w:rsid w:val="00E478F7"/>
    <w:rsid w:val="00E50305"/>
    <w:rsid w:val="00E508D5"/>
    <w:rsid w:val="00E512ED"/>
    <w:rsid w:val="00E55A3C"/>
    <w:rsid w:val="00E57F2D"/>
    <w:rsid w:val="00E6045D"/>
    <w:rsid w:val="00E60D26"/>
    <w:rsid w:val="00E640BB"/>
    <w:rsid w:val="00E65290"/>
    <w:rsid w:val="00E65B3E"/>
    <w:rsid w:val="00E65BB2"/>
    <w:rsid w:val="00E67F9D"/>
    <w:rsid w:val="00E71B1A"/>
    <w:rsid w:val="00E72CF8"/>
    <w:rsid w:val="00E7327B"/>
    <w:rsid w:val="00E75D61"/>
    <w:rsid w:val="00E8199B"/>
    <w:rsid w:val="00E85B5B"/>
    <w:rsid w:val="00E879CD"/>
    <w:rsid w:val="00E96F24"/>
    <w:rsid w:val="00EA0DF2"/>
    <w:rsid w:val="00EA1015"/>
    <w:rsid w:val="00EA16B1"/>
    <w:rsid w:val="00EA5CD5"/>
    <w:rsid w:val="00EA6DFA"/>
    <w:rsid w:val="00EB0ED8"/>
    <w:rsid w:val="00EB337A"/>
    <w:rsid w:val="00EB635B"/>
    <w:rsid w:val="00EC049E"/>
    <w:rsid w:val="00EC0654"/>
    <w:rsid w:val="00EC2A64"/>
    <w:rsid w:val="00EC3C4C"/>
    <w:rsid w:val="00EC3F30"/>
    <w:rsid w:val="00EC72E9"/>
    <w:rsid w:val="00EC7B53"/>
    <w:rsid w:val="00ED3A35"/>
    <w:rsid w:val="00ED4A0A"/>
    <w:rsid w:val="00ED51E7"/>
    <w:rsid w:val="00EE014E"/>
    <w:rsid w:val="00EE0F59"/>
    <w:rsid w:val="00EE4238"/>
    <w:rsid w:val="00EF3CD5"/>
    <w:rsid w:val="00EF48E3"/>
    <w:rsid w:val="00F07995"/>
    <w:rsid w:val="00F1005F"/>
    <w:rsid w:val="00F11A95"/>
    <w:rsid w:val="00F120B0"/>
    <w:rsid w:val="00F1568A"/>
    <w:rsid w:val="00F15882"/>
    <w:rsid w:val="00F169C8"/>
    <w:rsid w:val="00F20CB5"/>
    <w:rsid w:val="00F2120B"/>
    <w:rsid w:val="00F21B9C"/>
    <w:rsid w:val="00F22DFA"/>
    <w:rsid w:val="00F23987"/>
    <w:rsid w:val="00F23EE5"/>
    <w:rsid w:val="00F36A6A"/>
    <w:rsid w:val="00F37DC9"/>
    <w:rsid w:val="00F42400"/>
    <w:rsid w:val="00F46CFA"/>
    <w:rsid w:val="00F47DE9"/>
    <w:rsid w:val="00F50977"/>
    <w:rsid w:val="00F52F54"/>
    <w:rsid w:val="00F53FD2"/>
    <w:rsid w:val="00F549ED"/>
    <w:rsid w:val="00F54C3E"/>
    <w:rsid w:val="00F550D0"/>
    <w:rsid w:val="00F550E3"/>
    <w:rsid w:val="00F57262"/>
    <w:rsid w:val="00F60171"/>
    <w:rsid w:val="00F616EB"/>
    <w:rsid w:val="00F62DFF"/>
    <w:rsid w:val="00F63212"/>
    <w:rsid w:val="00F63436"/>
    <w:rsid w:val="00F657BC"/>
    <w:rsid w:val="00F67E7E"/>
    <w:rsid w:val="00F72B15"/>
    <w:rsid w:val="00F924C4"/>
    <w:rsid w:val="00F9757B"/>
    <w:rsid w:val="00F9799F"/>
    <w:rsid w:val="00FA304E"/>
    <w:rsid w:val="00FB237A"/>
    <w:rsid w:val="00FC0719"/>
    <w:rsid w:val="00FC0A23"/>
    <w:rsid w:val="00FC0B71"/>
    <w:rsid w:val="00FC2EBC"/>
    <w:rsid w:val="00FC3B43"/>
    <w:rsid w:val="00FC5178"/>
    <w:rsid w:val="00FC5479"/>
    <w:rsid w:val="00FC5858"/>
    <w:rsid w:val="00FC7204"/>
    <w:rsid w:val="00FD20EC"/>
    <w:rsid w:val="00FE240F"/>
    <w:rsid w:val="00FF1EEC"/>
    <w:rsid w:val="00FF25D8"/>
    <w:rsid w:val="00FF2C52"/>
    <w:rsid w:val="00FF5463"/>
    <w:rsid w:val="00FF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32"/>
    <w:rPr>
      <w:color w:val="000000"/>
      <w:sz w:val="22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224C9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val="ro-RO" w:eastAsia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4F32"/>
    <w:pPr>
      <w:spacing w:after="120"/>
      <w:ind w:left="283"/>
    </w:pPr>
    <w:rPr>
      <w:rFonts w:ascii="Times New Roman" w:eastAsia="Times New Roman" w:hAnsi="Times New Roman"/>
      <w:color w:val="auto"/>
      <w:sz w:val="24"/>
      <w:szCs w:val="24"/>
      <w:lang w:val="ro-RO" w:bidi="ar-SA"/>
    </w:rPr>
  </w:style>
  <w:style w:type="character" w:customStyle="1" w:styleId="BodyTextIndentChar">
    <w:name w:val="Body Text Indent Char"/>
    <w:link w:val="BodyTextIndent"/>
    <w:rsid w:val="00AB4F3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72"/>
    <w:qFormat/>
    <w:rsid w:val="008671C5"/>
    <w:pPr>
      <w:ind w:left="720"/>
      <w:contextualSpacing/>
    </w:pPr>
  </w:style>
  <w:style w:type="character" w:customStyle="1" w:styleId="tal1">
    <w:name w:val="tal1"/>
    <w:basedOn w:val="DefaultParagraphFont"/>
    <w:rsid w:val="00CC1071"/>
  </w:style>
  <w:style w:type="character" w:styleId="Emphasis">
    <w:name w:val="Emphasis"/>
    <w:uiPriority w:val="20"/>
    <w:qFormat/>
    <w:rsid w:val="008E3F2F"/>
    <w:rPr>
      <w:rFonts w:ascii="Arial" w:hAnsi="Arial" w:cs="Arial" w:hint="default"/>
      <w:i/>
      <w:iCs/>
      <w:sz w:val="20"/>
      <w:szCs w:val="20"/>
    </w:rPr>
  </w:style>
  <w:style w:type="character" w:customStyle="1" w:styleId="tpa1">
    <w:name w:val="tpa1"/>
    <w:basedOn w:val="DefaultParagraphFont"/>
    <w:rsid w:val="00966DB0"/>
  </w:style>
  <w:style w:type="character" w:customStyle="1" w:styleId="do1">
    <w:name w:val="do1"/>
    <w:rsid w:val="00966DB0"/>
    <w:rPr>
      <w:b/>
      <w:bCs/>
      <w:sz w:val="26"/>
      <w:szCs w:val="26"/>
    </w:rPr>
  </w:style>
  <w:style w:type="character" w:customStyle="1" w:styleId="slitbdy">
    <w:name w:val="s_lit_bdy"/>
    <w:basedOn w:val="DefaultParagraphFont"/>
    <w:rsid w:val="005F47D2"/>
  </w:style>
  <w:style w:type="character" w:styleId="Hyperlink">
    <w:name w:val="Hyperlink"/>
    <w:uiPriority w:val="99"/>
    <w:semiHidden/>
    <w:unhideWhenUsed/>
    <w:rsid w:val="005F47D2"/>
    <w:rPr>
      <w:color w:val="0000FF"/>
      <w:u w:val="single"/>
    </w:rPr>
  </w:style>
  <w:style w:type="paragraph" w:customStyle="1" w:styleId="doc-ti">
    <w:name w:val="doc-ti"/>
    <w:basedOn w:val="Normal"/>
    <w:rsid w:val="0096074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ro-RO" w:eastAsia="ro-RO" w:bidi="ar-SA"/>
    </w:rPr>
  </w:style>
  <w:style w:type="paragraph" w:customStyle="1" w:styleId="Normal1">
    <w:name w:val="Normal1"/>
    <w:basedOn w:val="Normal"/>
    <w:rsid w:val="0096074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ro-RO" w:eastAsia="ro-RO" w:bidi="ar-SA"/>
    </w:rPr>
  </w:style>
  <w:style w:type="character" w:customStyle="1" w:styleId="bold">
    <w:name w:val="bold"/>
    <w:basedOn w:val="DefaultParagraphFont"/>
    <w:rsid w:val="00960748"/>
  </w:style>
  <w:style w:type="paragraph" w:styleId="BodyText">
    <w:name w:val="Body Text"/>
    <w:basedOn w:val="Normal"/>
    <w:link w:val="BodyTextChar"/>
    <w:uiPriority w:val="99"/>
    <w:unhideWhenUsed/>
    <w:rsid w:val="0019044F"/>
    <w:pPr>
      <w:spacing w:after="120"/>
    </w:pPr>
  </w:style>
  <w:style w:type="character" w:customStyle="1" w:styleId="BodyTextChar">
    <w:name w:val="Body Text Char"/>
    <w:link w:val="BodyText"/>
    <w:uiPriority w:val="99"/>
    <w:rsid w:val="0019044F"/>
    <w:rPr>
      <w:color w:val="000000"/>
      <w:sz w:val="22"/>
      <w:lang w:val="en-US" w:eastAsia="en-US" w:bidi="en-US"/>
    </w:rPr>
  </w:style>
  <w:style w:type="character" w:customStyle="1" w:styleId="sden">
    <w:name w:val="s_den"/>
    <w:basedOn w:val="DefaultParagraphFont"/>
    <w:rsid w:val="009223F5"/>
  </w:style>
  <w:style w:type="character" w:customStyle="1" w:styleId="shdr">
    <w:name w:val="s_hdr"/>
    <w:basedOn w:val="DefaultParagraphFont"/>
    <w:rsid w:val="009223F5"/>
  </w:style>
  <w:style w:type="paragraph" w:styleId="BalloonText">
    <w:name w:val="Balloon Text"/>
    <w:basedOn w:val="Normal"/>
    <w:link w:val="BalloonTextChar"/>
    <w:uiPriority w:val="99"/>
    <w:semiHidden/>
    <w:unhideWhenUsed/>
    <w:rsid w:val="009A4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49B2"/>
    <w:rPr>
      <w:rFonts w:ascii="Segoe UI" w:hAnsi="Segoe UI" w:cs="Segoe UI"/>
      <w:color w:val="000000"/>
      <w:sz w:val="18"/>
      <w:szCs w:val="18"/>
      <w:lang w:bidi="en-US"/>
    </w:rPr>
  </w:style>
  <w:style w:type="character" w:customStyle="1" w:styleId="spctbdy">
    <w:name w:val="s_pct_bdy"/>
    <w:basedOn w:val="DefaultParagraphFont"/>
    <w:rsid w:val="0037211D"/>
  </w:style>
  <w:style w:type="character" w:customStyle="1" w:styleId="Heading3Char">
    <w:name w:val="Heading 3 Char"/>
    <w:basedOn w:val="DefaultParagraphFont"/>
    <w:link w:val="Heading3"/>
    <w:uiPriority w:val="9"/>
    <w:rsid w:val="00224C92"/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paragraph" w:customStyle="1" w:styleId="Normal2">
    <w:name w:val="Normal2"/>
    <w:basedOn w:val="Normal"/>
    <w:rsid w:val="00AE484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ro-RO" w:eastAsia="ro-R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1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8605">
              <w:marLeft w:val="0"/>
              <w:marRight w:val="23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751">
          <w:marLeft w:val="0"/>
          <w:marRight w:val="23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4652">
          <w:marLeft w:val="0"/>
          <w:marRight w:val="23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26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6146">
          <w:marLeft w:val="0"/>
          <w:marRight w:val="23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6756">
          <w:marLeft w:val="0"/>
          <w:marRight w:val="23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670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9494">
          <w:marLeft w:val="0"/>
          <w:marRight w:val="23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.ro/ro/guvernul/cabinetul-de-ministri/ministrul-afacerilor-externe157304771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.ro/ro/guvernul/cabinetul-de-ministri/ministrul-lucrarilor-publice-dezvoltarii-si-administrati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ro/ro/guvernul/cabinetul-de-ministri/ministrul-economiei-energiei-si-mediului-de-afacer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.ro/ro/guvernul/cabinetul-de-ministri/ministrul-justitiei1573047730" TargetMode="External"/><Relationship Id="rId10" Type="http://schemas.openxmlformats.org/officeDocument/2006/relationships/hyperlink" Target="http://legislatie.just.ro/Public/DetaliiDocumentAfis/1705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slatie.just.ro/Public/DetaliiDocumentAfis/170524" TargetMode="External"/><Relationship Id="rId14" Type="http://schemas.openxmlformats.org/officeDocument/2006/relationships/hyperlink" Target="http://gov.ro/ro/guvernul/cabinetul-de-ministri/ministrul-finantelor-publice1573047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4AD0-3B91-4074-87F1-F7E64D07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9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MMAP</Company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</dc:creator>
  <cp:keywords/>
  <dc:description/>
  <cp:lastModifiedBy>George</cp:lastModifiedBy>
  <cp:revision>235</cp:revision>
  <cp:lastPrinted>2019-06-28T08:44:00Z</cp:lastPrinted>
  <dcterms:created xsi:type="dcterms:W3CDTF">2017-07-10T11:46:00Z</dcterms:created>
  <dcterms:modified xsi:type="dcterms:W3CDTF">2020-04-14T12:05:00Z</dcterms:modified>
</cp:coreProperties>
</file>